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ED67E" w14:textId="77777777" w:rsidR="00BA192D" w:rsidRDefault="00BA192D" w:rsidP="00BA1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92D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938CBCE" w14:textId="77777777" w:rsidR="00BA192D" w:rsidRPr="00BA192D" w:rsidRDefault="00BA192D" w:rsidP="00BA1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75C77" w14:textId="77777777" w:rsidR="00BA192D" w:rsidRPr="00BA192D" w:rsidRDefault="00BA192D" w:rsidP="00BA19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A192D">
        <w:rPr>
          <w:rFonts w:ascii="Times New Roman" w:hAnsi="Times New Roman" w:cs="Times New Roman"/>
        </w:rPr>
        <w:t>Wypłata dodatków mieszkaniowych jest zadaniem własnym gminy i w całości finansowana jest ze środków własnych gminy.</w:t>
      </w:r>
    </w:p>
    <w:p w14:paraId="4F432004" w14:textId="77777777" w:rsidR="00BA192D" w:rsidRPr="00BA192D" w:rsidRDefault="00BA192D" w:rsidP="00BA19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A192D">
        <w:rPr>
          <w:rFonts w:ascii="Times New Roman" w:hAnsi="Times New Roman" w:cs="Times New Roman"/>
        </w:rPr>
        <w:t>Zgodnie z ustawą z dnia 21 czerwca 2001 r. o dodatkach mieszkaniowych (tekst jednolity Dz.U. z 2023 r poz. 1335) wysokość dodatku mieszkaniowego, łącznie z ryczałtem, z tytułu braku centralnego ogrzewania, centralnej ciepłej wody i gazu przewodowego, nie może przekroczyć 70% wydatków przypadających na normatywną powierzchnię zajmowanego lokalu mieszkalnego lub faktycznych wydatków ponoszonych za lokal mieszkalny, jeżeli powierzchnia lokalu jest mniejsza lub równa normatywnej powierzchni. Obecnie w Gminie Olsztyn procentowy wskaźnik dopłaty wynosi 70%.</w:t>
      </w:r>
    </w:p>
    <w:p w14:paraId="5D300AAD" w14:textId="77777777" w:rsidR="00BA192D" w:rsidRPr="00BA192D" w:rsidRDefault="00BA192D" w:rsidP="00BA19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A192D">
        <w:rPr>
          <w:rFonts w:ascii="Times New Roman" w:hAnsi="Times New Roman" w:cs="Times New Roman"/>
        </w:rPr>
        <w:t>Na podstawie art. 6 ust. 11 ustawy z dnia 21 czerwca 2001 r. o dodatkach mieszkaniowych (tekst jednolity Dz.U. z 2023 r poz. 1335) Rada Gminy została upoważniona do obniżenia lub podwyższenia wskaźników procentowych, w oparciu o które jest ustalana wysokość dodatku mieszkaniowego - nie więcej niż o 20 punktów procentowych.</w:t>
      </w:r>
    </w:p>
    <w:p w14:paraId="171664CB" w14:textId="77777777" w:rsidR="00BA192D" w:rsidRPr="00BA192D" w:rsidRDefault="00BA192D" w:rsidP="00BA19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A192D">
        <w:rPr>
          <w:rFonts w:ascii="Times New Roman" w:hAnsi="Times New Roman" w:cs="Times New Roman"/>
        </w:rPr>
        <w:t>Obserwowana i prognozowana tendencja wzrostowa wydatków uwzględnianych przy ustalaniu wysokości dodatku mieszkaniowego ma wpływ na wyższą wysokość wypłacanych przez Gminę Olsztyn dodatków mieszkaniowych, a co za tym idzie skutkuje koniecznością zapewnienia w przyszłych latach wyższych środków finansowych w budżecie Gminy na realizację tego zadania.</w:t>
      </w:r>
    </w:p>
    <w:p w14:paraId="51258055" w14:textId="77777777" w:rsidR="00BA192D" w:rsidRPr="00BA192D" w:rsidRDefault="00BA192D" w:rsidP="00BA19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A192D">
        <w:rPr>
          <w:rFonts w:ascii="Times New Roman" w:hAnsi="Times New Roman" w:cs="Times New Roman"/>
        </w:rPr>
        <w:t>W związku z trudną sytuacją finansową Gminy Olsztyn obniżenie wskaźników o 20 punktów procentowych umożliwi zapewnienie finansowania tego zadania przez Gminę Olsztyn.</w:t>
      </w:r>
    </w:p>
    <w:p w14:paraId="4B0ABB90" w14:textId="26B92CC0" w:rsidR="007211DB" w:rsidRPr="00BA192D" w:rsidRDefault="00BA192D" w:rsidP="00BA19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A192D">
        <w:rPr>
          <w:rFonts w:ascii="Times New Roman" w:hAnsi="Times New Roman" w:cs="Times New Roman"/>
        </w:rPr>
        <w:t>Mając na uwadze powyższe podjęcie uchwały jest konieczne i uzasadnione.</w:t>
      </w:r>
    </w:p>
    <w:sectPr w:rsidR="007211DB" w:rsidRPr="00BA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6F"/>
    <w:rsid w:val="006A2B65"/>
    <w:rsid w:val="007211DB"/>
    <w:rsid w:val="00BA192D"/>
    <w:rsid w:val="00C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1C0D"/>
  <w15:chartTrackingRefBased/>
  <w15:docId w15:val="{C1D6AD06-0C8D-49F1-98A8-A62880B6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Klimkowska</dc:creator>
  <cp:keywords/>
  <dc:description/>
  <cp:lastModifiedBy>Dominika Klimkowska</cp:lastModifiedBy>
  <cp:revision>2</cp:revision>
  <dcterms:created xsi:type="dcterms:W3CDTF">2024-11-08T13:17:00Z</dcterms:created>
  <dcterms:modified xsi:type="dcterms:W3CDTF">2024-11-08T13:19:00Z</dcterms:modified>
</cp:coreProperties>
</file>