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110DD5" w14:textId="77777777" w:rsidR="0023474F" w:rsidRPr="00A704BC" w:rsidRDefault="0023474F" w:rsidP="0023474F">
      <w:pPr>
        <w:jc w:val="center"/>
        <w:rPr>
          <w:rFonts w:ascii="Times New Roman" w:hAnsi="Times New Roman" w:cs="Times New Roman"/>
          <w:b/>
          <w:sz w:val="24"/>
          <w:szCs w:val="24"/>
        </w:rPr>
      </w:pPr>
      <w:bookmarkStart w:id="0" w:name="_GoBack"/>
      <w:bookmarkEnd w:id="0"/>
      <w:r w:rsidRPr="00A704BC">
        <w:rPr>
          <w:rFonts w:ascii="Times New Roman" w:hAnsi="Times New Roman" w:cs="Times New Roman"/>
          <w:b/>
          <w:sz w:val="24"/>
          <w:szCs w:val="24"/>
        </w:rPr>
        <w:t>Uzasadnienie</w:t>
      </w:r>
    </w:p>
    <w:p w14:paraId="084C9945" w14:textId="77777777" w:rsidR="0023474F" w:rsidRPr="00A704BC" w:rsidRDefault="0023474F" w:rsidP="0023474F">
      <w:pPr>
        <w:ind w:firstLine="284"/>
        <w:jc w:val="both"/>
        <w:rPr>
          <w:rFonts w:ascii="Times New Roman" w:hAnsi="Times New Roman" w:cs="Times New Roman"/>
          <w:sz w:val="24"/>
          <w:szCs w:val="24"/>
        </w:rPr>
      </w:pPr>
      <w:r w:rsidRPr="00A704BC">
        <w:rPr>
          <w:rFonts w:ascii="Times New Roman" w:hAnsi="Times New Roman" w:cs="Times New Roman"/>
          <w:sz w:val="24"/>
          <w:szCs w:val="24"/>
        </w:rPr>
        <w:t xml:space="preserve">Olsztyńskie Centrum Edukacji Nauczycieli w Olsztynie zostało powołane Uchwałą </w:t>
      </w:r>
      <w:r w:rsidRPr="00A704BC">
        <w:rPr>
          <w:rFonts w:ascii="Times New Roman" w:hAnsi="Times New Roman" w:cs="Times New Roman"/>
          <w:sz w:val="24"/>
          <w:szCs w:val="24"/>
        </w:rPr>
        <w:br/>
        <w:t>Nr XXXII/565/2000 Rady Miejskiej w Olsztynie z dnia 28 czerwca 2000 r. (do 31 grudnia 2019 r. funkcjonowało jako Ośrodek Doskonalenia Nauczycieli w Olsztynie, a od 1 stycznia 2020 r. na mocy Uchwały Nr XIII/212/19 Rady Miasta Olsztyna z dnia 30 września 2019 r. jako Olsztyńskie Centrum Edukacji Nauczycieli). Utworzenie Centrum miało sprzyjać skuteczności doradztwa i doskonalenia nauczycieli, a jego powstanie zbiegło się w czasie z wdrażaniem reformy systemu edukacji w Polsce. Zgodnie z art. 185 ust. 1 ustawy z dnia 14 grudnia 2016 r. Prawo oświatowe, Centrum uzyskało wstępną akredytację. Uzyskanie wstępnej akredytacji stanowi warunek niezbędny do utworzenia placówki doskonalenia nauczycieli. Początkowo przyjęta nazwa placówki jako Ośrodka Doskonalenia Nauczycieli została zmieniona na skutek postulatów ówczesnego dyrektora i związana była z często mylonymi w mieście dwoma ośrodkami, olsztyńskim oraz warmińsko-mazurskim. Celem zmiany nazwy było zatem dążenie do funkcjonowania dwóch odrębnych, nie mylonych ze sobą placówek wsparcia nauczycieli oraz nadanie ośrodkowi nowych funkcji i zadań zgodnie z przepisami prawa wynikającymi m.in. z reformy. Olsztyńskie Centrum Edukacji Nauczycieli zatrudniało nauczycieli konsultantów, nie zatrudniało doradców metodycznych.</w:t>
      </w:r>
    </w:p>
    <w:p w14:paraId="7DA0AD53" w14:textId="004B1466" w:rsidR="0023474F" w:rsidRPr="00A704BC" w:rsidRDefault="0023474F" w:rsidP="0023474F">
      <w:pPr>
        <w:ind w:firstLine="284"/>
        <w:jc w:val="both"/>
        <w:rPr>
          <w:rFonts w:ascii="Times New Roman" w:hAnsi="Times New Roman" w:cs="Times New Roman"/>
          <w:sz w:val="24"/>
          <w:szCs w:val="24"/>
        </w:rPr>
      </w:pPr>
      <w:r w:rsidRPr="00A704BC">
        <w:rPr>
          <w:rFonts w:ascii="Times New Roman" w:hAnsi="Times New Roman" w:cs="Times New Roman"/>
          <w:sz w:val="24"/>
          <w:szCs w:val="24"/>
        </w:rPr>
        <w:t>Prowadzenie placówek doskonalenia zawodowego nauczycieli przez władze samorządowe jest zadaniem fakultatywnym nie obowiązkowym (art. 183 ust. 1 ustawy z dnia 14 grudnia 2016 r. Prawo oświatowe – „w celu doskonalenia zawodowego nauczycieli mogą być tworzone placówki doskonalenia nauczycieli”). W obliczu kolejnych reform systemu edukacji, w tym zmieniających się wymagań stawianych wobec nauczycieli i specjalistów, w zakresie ich zadań, kształcenia, doskonalenia, rozwoju zawodowego i oceny pracy. Funkcjonowanie Centrum miało zatem istotne „pomocnicze” znaczenie dla utrzymania właściwej organizacji, poziomu i</w:t>
      </w:r>
      <w:r w:rsidR="00A704BC">
        <w:rPr>
          <w:rFonts w:ascii="Times New Roman" w:hAnsi="Times New Roman" w:cs="Times New Roman"/>
          <w:sz w:val="24"/>
          <w:szCs w:val="24"/>
        </w:rPr>
        <w:t> </w:t>
      </w:r>
      <w:r w:rsidRPr="00A704BC">
        <w:rPr>
          <w:rFonts w:ascii="Times New Roman" w:hAnsi="Times New Roman" w:cs="Times New Roman"/>
          <w:sz w:val="24"/>
          <w:szCs w:val="24"/>
        </w:rPr>
        <w:t xml:space="preserve">rozwoju edukacji miejskiej, choć wymagało stałego wsparcia finansowego ze strony Organu Prowadzącego z uwagi na niewystarczającą subwencję. Bardzo często pojawiały się uwagi </w:t>
      </w:r>
      <w:r w:rsidRPr="00A704BC">
        <w:t>ze</w:t>
      </w:r>
      <w:r w:rsidR="00A704BC">
        <w:t> </w:t>
      </w:r>
      <w:r w:rsidRPr="00A704BC">
        <w:t>strony</w:t>
      </w:r>
      <w:r w:rsidRPr="00A704BC">
        <w:rPr>
          <w:rFonts w:ascii="Times New Roman" w:hAnsi="Times New Roman" w:cs="Times New Roman"/>
          <w:sz w:val="24"/>
          <w:szCs w:val="24"/>
        </w:rPr>
        <w:t xml:space="preserve"> Radnych Miasta Olsztyna dotyczące wysokich kosztów utrzymania placówki. Z uwagi na powyższe i na fakt, iż wysokich kosztów utrzymania Ośrodka nie pokrywała </w:t>
      </w:r>
      <w:r w:rsidRPr="00481DA2">
        <w:rPr>
          <w:rFonts w:ascii="Times New Roman" w:hAnsi="Times New Roman" w:cs="Times New Roman"/>
          <w:sz w:val="24"/>
          <w:szCs w:val="24"/>
        </w:rPr>
        <w:t>w</w:t>
      </w:r>
      <w:r w:rsidR="00481DA2">
        <w:rPr>
          <w:rFonts w:ascii="Times New Roman" w:hAnsi="Times New Roman" w:cs="Times New Roman"/>
          <w:sz w:val="24"/>
          <w:szCs w:val="24"/>
        </w:rPr>
        <w:t> </w:t>
      </w:r>
      <w:r w:rsidRPr="00481DA2">
        <w:rPr>
          <w:rFonts w:ascii="Times New Roman" w:hAnsi="Times New Roman" w:cs="Times New Roman"/>
          <w:sz w:val="24"/>
          <w:szCs w:val="24"/>
        </w:rPr>
        <w:t>pełni</w:t>
      </w:r>
      <w:r w:rsidRPr="00A704BC">
        <w:rPr>
          <w:rFonts w:ascii="Times New Roman" w:hAnsi="Times New Roman" w:cs="Times New Roman"/>
          <w:sz w:val="24"/>
          <w:szCs w:val="24"/>
        </w:rPr>
        <w:t xml:space="preserve"> subwencja oświatowa, władze miasta poszukiwały rozwiązań, które pozwolą maksymalnie zmniejszyć udział środków budżetu miasta w utrzymaniu Centrum. Stąd na etapie zmiany nazwy Olsztyńskiego Centrum Edukacji Nauczycieli podjęto decyzję, o umożliwieniu gromadzenia przez Centrum dochodów na wydzielonym rachunku dochodów i wprowadzono w związku z tym zmiany w Uchwale Nr XVI/281/19 Rady Miasta Olsztyna z dnia 13 grudnia 2019 r.w sprawie określenia jednostek budżetowych, które gromadzą dochody na</w:t>
      </w:r>
      <w:r w:rsidR="00A704BC">
        <w:rPr>
          <w:rFonts w:ascii="Times New Roman" w:hAnsi="Times New Roman" w:cs="Times New Roman"/>
          <w:sz w:val="24"/>
          <w:szCs w:val="24"/>
        </w:rPr>
        <w:t> </w:t>
      </w:r>
      <w:r w:rsidRPr="00A704BC">
        <w:rPr>
          <w:rFonts w:ascii="Times New Roman" w:hAnsi="Times New Roman" w:cs="Times New Roman"/>
          <w:sz w:val="24"/>
          <w:szCs w:val="24"/>
        </w:rPr>
        <w:t>wydzielonym rachunku, źródeł z których dochody są gromadzone na tym rachunku, przeznaczenia tych dochodów oraz sposobu i trybu sporządzania planu finansowego dochodów gromadzonych</w:t>
      </w:r>
      <w:r w:rsidR="00A704BC">
        <w:rPr>
          <w:rFonts w:ascii="Times New Roman" w:hAnsi="Times New Roman" w:cs="Times New Roman"/>
          <w:sz w:val="24"/>
          <w:szCs w:val="24"/>
        </w:rPr>
        <w:t> na </w:t>
      </w:r>
      <w:r w:rsidRPr="00A704BC">
        <w:rPr>
          <w:rFonts w:ascii="Times New Roman" w:hAnsi="Times New Roman" w:cs="Times New Roman"/>
          <w:sz w:val="24"/>
          <w:szCs w:val="24"/>
        </w:rPr>
        <w:t>wydzielonym</w:t>
      </w:r>
      <w:r w:rsidR="00A704BC">
        <w:rPr>
          <w:rFonts w:ascii="Times New Roman" w:hAnsi="Times New Roman" w:cs="Times New Roman"/>
          <w:sz w:val="24"/>
          <w:szCs w:val="24"/>
        </w:rPr>
        <w:t> </w:t>
      </w:r>
      <w:r w:rsidRPr="00A704BC">
        <w:rPr>
          <w:rFonts w:ascii="Times New Roman" w:hAnsi="Times New Roman" w:cs="Times New Roman"/>
          <w:sz w:val="24"/>
          <w:szCs w:val="24"/>
        </w:rPr>
        <w:t>rachunku i wydatków nimi finansowanych, dokonywania zmian w tym planie oraz ich zatwierdzania. Od tego momentu Centrum miało być w coraz większym stopniu jednostką samofinansującą z wyłączeniem wynagrodzeń pracowników i</w:t>
      </w:r>
      <w:r w:rsidR="00481DA2">
        <w:rPr>
          <w:rFonts w:ascii="Times New Roman" w:hAnsi="Times New Roman" w:cs="Times New Roman"/>
          <w:sz w:val="24"/>
          <w:szCs w:val="24"/>
        </w:rPr>
        <w:t> </w:t>
      </w:r>
      <w:r w:rsidRPr="00A704BC">
        <w:rPr>
          <w:rFonts w:ascii="Times New Roman" w:hAnsi="Times New Roman" w:cs="Times New Roman"/>
          <w:sz w:val="24"/>
          <w:szCs w:val="24"/>
        </w:rPr>
        <w:t>w</w:t>
      </w:r>
      <w:r w:rsidR="00481DA2">
        <w:rPr>
          <w:rFonts w:ascii="Times New Roman" w:hAnsi="Times New Roman" w:cs="Times New Roman"/>
          <w:sz w:val="24"/>
          <w:szCs w:val="24"/>
        </w:rPr>
        <w:t> ramach swojej działalności kierować swoją ofertę do </w:t>
      </w:r>
      <w:r w:rsidRPr="00A704BC">
        <w:rPr>
          <w:rFonts w:ascii="Times New Roman" w:hAnsi="Times New Roman" w:cs="Times New Roman"/>
          <w:sz w:val="24"/>
          <w:szCs w:val="24"/>
        </w:rPr>
        <w:t xml:space="preserve">nauczycieli, a opłaty z tego tytułu gromadzić na wydzielonym rachunku, o którym mowa w art. 223 ustawy </w:t>
      </w:r>
      <w:r w:rsidRPr="00A704BC">
        <w:rPr>
          <w:rFonts w:ascii="Times New Roman" w:hAnsi="Times New Roman" w:cs="Times New Roman"/>
          <w:sz w:val="24"/>
          <w:szCs w:val="24"/>
        </w:rPr>
        <w:br/>
        <w:t>o finansach publicznych i wydatków nimi finansowanych (dalej WRD). Jednak jak wynika z</w:t>
      </w:r>
      <w:r w:rsidR="00481DA2">
        <w:rPr>
          <w:rFonts w:ascii="Times New Roman" w:hAnsi="Times New Roman" w:cs="Times New Roman"/>
          <w:sz w:val="24"/>
          <w:szCs w:val="24"/>
        </w:rPr>
        <w:t> </w:t>
      </w:r>
      <w:r w:rsidRPr="00A704BC">
        <w:rPr>
          <w:rFonts w:ascii="Times New Roman" w:hAnsi="Times New Roman" w:cs="Times New Roman"/>
          <w:sz w:val="24"/>
          <w:szCs w:val="24"/>
        </w:rPr>
        <w:t>danych, od 2023 r. znacznie zwiększają się wydatki związane z funkcjonowaniem Centrum, a dochody pozyskiwane na WRD maleją. W poniższej tabeli zaprezentowano zestawienie dochodów i wydatków budżetowych, jak również dochodów i wydatków WRD.</w:t>
      </w:r>
    </w:p>
    <w:tbl>
      <w:tblPr>
        <w:tblW w:w="9067" w:type="dxa"/>
        <w:tblLayout w:type="fixed"/>
        <w:tblCellMar>
          <w:left w:w="70" w:type="dxa"/>
          <w:right w:w="70" w:type="dxa"/>
        </w:tblCellMar>
        <w:tblLook w:val="04A0" w:firstRow="1" w:lastRow="0" w:firstColumn="1" w:lastColumn="0" w:noHBand="0" w:noVBand="1"/>
      </w:tblPr>
      <w:tblGrid>
        <w:gridCol w:w="2547"/>
        <w:gridCol w:w="1701"/>
        <w:gridCol w:w="1417"/>
        <w:gridCol w:w="1559"/>
        <w:gridCol w:w="1843"/>
      </w:tblGrid>
      <w:tr w:rsidR="0023474F" w:rsidRPr="00A704BC" w14:paraId="2FAF1BDB" w14:textId="77777777" w:rsidTr="00BE6148">
        <w:trPr>
          <w:trHeight w:val="915"/>
        </w:trPr>
        <w:tc>
          <w:tcPr>
            <w:tcW w:w="25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8265160" w14:textId="77777777" w:rsidR="0023474F" w:rsidRPr="00A704BC" w:rsidRDefault="0023474F" w:rsidP="00BE6148">
            <w:pPr>
              <w:spacing w:after="0" w:line="240" w:lineRule="auto"/>
              <w:jc w:val="center"/>
              <w:rPr>
                <w:rFonts w:ascii="Times New Roman" w:eastAsia="Times New Roman" w:hAnsi="Times New Roman" w:cs="Times New Roman"/>
                <w:b/>
                <w:color w:val="000000"/>
                <w:sz w:val="24"/>
                <w:szCs w:val="24"/>
                <w:lang w:eastAsia="pl-PL"/>
              </w:rPr>
            </w:pPr>
            <w:r w:rsidRPr="00A704BC">
              <w:rPr>
                <w:rFonts w:ascii="Times New Roman" w:eastAsia="Times New Roman" w:hAnsi="Times New Roman" w:cs="Times New Roman"/>
                <w:b/>
                <w:color w:val="000000"/>
                <w:sz w:val="24"/>
                <w:szCs w:val="24"/>
                <w:lang w:eastAsia="pl-PL"/>
              </w:rPr>
              <w:lastRenderedPageBreak/>
              <w:t>Rok</w:t>
            </w:r>
          </w:p>
        </w:tc>
        <w:tc>
          <w:tcPr>
            <w:tcW w:w="3118" w:type="dxa"/>
            <w:gridSpan w:val="2"/>
            <w:tcBorders>
              <w:top w:val="single" w:sz="4" w:space="0" w:color="000000"/>
              <w:bottom w:val="single" w:sz="4" w:space="0" w:color="000000"/>
              <w:right w:val="single" w:sz="4" w:space="0" w:color="000000"/>
            </w:tcBorders>
            <w:shd w:val="clear" w:color="auto" w:fill="auto"/>
            <w:vAlign w:val="center"/>
          </w:tcPr>
          <w:p w14:paraId="110C8C0C" w14:textId="77777777" w:rsidR="0023474F" w:rsidRPr="00A704BC" w:rsidRDefault="0023474F" w:rsidP="00BE6148">
            <w:pPr>
              <w:spacing w:after="0" w:line="240" w:lineRule="auto"/>
              <w:jc w:val="center"/>
              <w:rPr>
                <w:rFonts w:ascii="Times New Roman" w:eastAsia="Times New Roman" w:hAnsi="Times New Roman" w:cs="Times New Roman"/>
                <w:b/>
                <w:bCs/>
                <w:color w:val="000000"/>
                <w:sz w:val="24"/>
                <w:szCs w:val="24"/>
                <w:lang w:eastAsia="pl-PL"/>
              </w:rPr>
            </w:pPr>
            <w:r w:rsidRPr="00A704BC">
              <w:rPr>
                <w:rFonts w:ascii="Times New Roman" w:eastAsia="Times New Roman" w:hAnsi="Times New Roman" w:cs="Times New Roman"/>
                <w:b/>
                <w:bCs/>
                <w:color w:val="000000"/>
                <w:sz w:val="24"/>
                <w:szCs w:val="24"/>
                <w:lang w:eastAsia="pl-PL"/>
              </w:rPr>
              <w:t>PLAN FINANSOWY/</w:t>
            </w:r>
            <w:r w:rsidRPr="00A704BC">
              <w:rPr>
                <w:rFonts w:ascii="Times New Roman" w:eastAsia="Times New Roman" w:hAnsi="Times New Roman" w:cs="Times New Roman"/>
                <w:b/>
                <w:bCs/>
                <w:color w:val="000000"/>
                <w:sz w:val="24"/>
                <w:szCs w:val="24"/>
                <w:lang w:eastAsia="pl-PL"/>
              </w:rPr>
              <w:br/>
              <w:t>WYKONANIE dochodów i wydatków budżetowych</w:t>
            </w:r>
          </w:p>
        </w:tc>
        <w:tc>
          <w:tcPr>
            <w:tcW w:w="3402" w:type="dxa"/>
            <w:gridSpan w:val="2"/>
            <w:tcBorders>
              <w:top w:val="single" w:sz="4" w:space="0" w:color="000000"/>
              <w:bottom w:val="single" w:sz="4" w:space="0" w:color="000000"/>
              <w:right w:val="single" w:sz="4" w:space="0" w:color="000000"/>
            </w:tcBorders>
            <w:shd w:val="clear" w:color="auto" w:fill="auto"/>
            <w:vAlign w:val="center"/>
          </w:tcPr>
          <w:p w14:paraId="2965565E" w14:textId="77777777" w:rsidR="0023474F" w:rsidRPr="00A704BC" w:rsidRDefault="0023474F" w:rsidP="00BE6148">
            <w:pPr>
              <w:spacing w:after="0" w:line="240" w:lineRule="auto"/>
              <w:jc w:val="center"/>
              <w:rPr>
                <w:rFonts w:ascii="Times New Roman" w:eastAsia="Times New Roman" w:hAnsi="Times New Roman" w:cs="Times New Roman"/>
                <w:b/>
                <w:bCs/>
                <w:color w:val="000000"/>
                <w:sz w:val="24"/>
                <w:szCs w:val="24"/>
                <w:lang w:eastAsia="pl-PL"/>
              </w:rPr>
            </w:pPr>
            <w:r w:rsidRPr="00A704BC">
              <w:rPr>
                <w:rFonts w:ascii="Times New Roman" w:eastAsia="Times New Roman" w:hAnsi="Times New Roman" w:cs="Times New Roman"/>
                <w:b/>
                <w:bCs/>
                <w:color w:val="000000"/>
                <w:sz w:val="24"/>
                <w:szCs w:val="24"/>
                <w:lang w:eastAsia="pl-PL"/>
              </w:rPr>
              <w:t>PLAN FINANSOWY/</w:t>
            </w:r>
            <w:r w:rsidRPr="00A704BC">
              <w:rPr>
                <w:rFonts w:ascii="Times New Roman" w:eastAsia="Times New Roman" w:hAnsi="Times New Roman" w:cs="Times New Roman"/>
                <w:b/>
                <w:bCs/>
                <w:color w:val="000000"/>
                <w:sz w:val="24"/>
                <w:szCs w:val="24"/>
                <w:lang w:eastAsia="pl-PL"/>
              </w:rPr>
              <w:br/>
              <w:t>WYKONANIE WRD</w:t>
            </w:r>
          </w:p>
        </w:tc>
      </w:tr>
      <w:tr w:rsidR="0023474F" w:rsidRPr="00A704BC" w14:paraId="67CF6623" w14:textId="77777777" w:rsidTr="00BE6148">
        <w:trPr>
          <w:trHeight w:val="472"/>
        </w:trPr>
        <w:tc>
          <w:tcPr>
            <w:tcW w:w="25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CC73E0" w14:textId="77777777" w:rsidR="0023474F" w:rsidRPr="00A704BC" w:rsidRDefault="0023474F" w:rsidP="00BE6148">
            <w:pPr>
              <w:spacing w:after="0" w:line="240" w:lineRule="auto"/>
              <w:rPr>
                <w:rFonts w:ascii="Times New Roman" w:eastAsia="Times New Roman" w:hAnsi="Times New Roman" w:cs="Times New Roman"/>
                <w:color w:val="000000"/>
                <w:sz w:val="24"/>
                <w:szCs w:val="24"/>
                <w:lang w:eastAsia="pl-PL"/>
              </w:rPr>
            </w:pPr>
          </w:p>
        </w:tc>
        <w:tc>
          <w:tcPr>
            <w:tcW w:w="1701" w:type="dxa"/>
            <w:tcBorders>
              <w:bottom w:val="single" w:sz="4" w:space="0" w:color="000000"/>
              <w:right w:val="single" w:sz="4" w:space="0" w:color="000000"/>
            </w:tcBorders>
            <w:shd w:val="clear" w:color="auto" w:fill="auto"/>
            <w:vAlign w:val="center"/>
          </w:tcPr>
          <w:p w14:paraId="1D8657FB" w14:textId="77777777" w:rsidR="0023474F" w:rsidRPr="00A704BC" w:rsidRDefault="0023474F" w:rsidP="00BE6148">
            <w:pPr>
              <w:spacing w:after="0" w:line="240" w:lineRule="auto"/>
              <w:jc w:val="center"/>
              <w:rPr>
                <w:rFonts w:ascii="Times New Roman" w:eastAsia="Times New Roman" w:hAnsi="Times New Roman" w:cs="Times New Roman"/>
                <w:b/>
                <w:bCs/>
                <w:color w:val="000000"/>
                <w:sz w:val="24"/>
                <w:szCs w:val="24"/>
                <w:lang w:eastAsia="pl-PL"/>
              </w:rPr>
            </w:pPr>
            <w:r w:rsidRPr="00A704BC">
              <w:rPr>
                <w:rFonts w:ascii="Times New Roman" w:eastAsia="Times New Roman" w:hAnsi="Times New Roman" w:cs="Times New Roman"/>
                <w:b/>
                <w:bCs/>
                <w:color w:val="000000"/>
                <w:sz w:val="24"/>
                <w:szCs w:val="24"/>
                <w:lang w:eastAsia="pl-PL"/>
              </w:rPr>
              <w:t>DOCHODY</w:t>
            </w:r>
          </w:p>
        </w:tc>
        <w:tc>
          <w:tcPr>
            <w:tcW w:w="1417" w:type="dxa"/>
            <w:tcBorders>
              <w:bottom w:val="single" w:sz="4" w:space="0" w:color="000000"/>
              <w:right w:val="single" w:sz="4" w:space="0" w:color="000000"/>
            </w:tcBorders>
            <w:shd w:val="clear" w:color="auto" w:fill="auto"/>
            <w:vAlign w:val="center"/>
          </w:tcPr>
          <w:p w14:paraId="45E9F88C" w14:textId="77777777" w:rsidR="0023474F" w:rsidRPr="00A704BC" w:rsidRDefault="0023474F" w:rsidP="00BE6148">
            <w:pPr>
              <w:spacing w:after="0" w:line="240" w:lineRule="auto"/>
              <w:jc w:val="center"/>
              <w:rPr>
                <w:rFonts w:ascii="Times New Roman" w:eastAsia="Times New Roman" w:hAnsi="Times New Roman" w:cs="Times New Roman"/>
                <w:b/>
                <w:bCs/>
                <w:color w:val="000000"/>
                <w:sz w:val="24"/>
                <w:szCs w:val="24"/>
                <w:lang w:eastAsia="pl-PL"/>
              </w:rPr>
            </w:pPr>
          </w:p>
          <w:p w14:paraId="3BF0EDD3" w14:textId="77777777" w:rsidR="0023474F" w:rsidRPr="00A704BC" w:rsidRDefault="0023474F" w:rsidP="00BE6148">
            <w:pPr>
              <w:spacing w:after="0" w:line="240" w:lineRule="auto"/>
              <w:jc w:val="center"/>
              <w:rPr>
                <w:rFonts w:ascii="Times New Roman" w:eastAsia="Times New Roman" w:hAnsi="Times New Roman" w:cs="Times New Roman"/>
                <w:b/>
                <w:bCs/>
                <w:color w:val="000000"/>
                <w:sz w:val="24"/>
                <w:szCs w:val="24"/>
                <w:lang w:eastAsia="pl-PL"/>
              </w:rPr>
            </w:pPr>
            <w:r w:rsidRPr="00A704BC">
              <w:rPr>
                <w:rFonts w:ascii="Times New Roman" w:eastAsia="Times New Roman" w:hAnsi="Times New Roman" w:cs="Times New Roman"/>
                <w:b/>
                <w:bCs/>
                <w:color w:val="000000"/>
                <w:sz w:val="24"/>
                <w:szCs w:val="24"/>
                <w:lang w:eastAsia="pl-PL"/>
              </w:rPr>
              <w:t>WYDATKI</w:t>
            </w:r>
            <w:r w:rsidRPr="00A704BC">
              <w:rPr>
                <w:rFonts w:ascii="Times New Roman" w:eastAsia="Times New Roman" w:hAnsi="Times New Roman" w:cs="Times New Roman"/>
                <w:b/>
                <w:bCs/>
                <w:color w:val="000000"/>
                <w:sz w:val="24"/>
                <w:szCs w:val="24"/>
                <w:lang w:eastAsia="pl-PL"/>
              </w:rPr>
              <w:br/>
            </w:r>
          </w:p>
        </w:tc>
        <w:tc>
          <w:tcPr>
            <w:tcW w:w="1559" w:type="dxa"/>
            <w:tcBorders>
              <w:bottom w:val="single" w:sz="4" w:space="0" w:color="000000"/>
              <w:right w:val="single" w:sz="4" w:space="0" w:color="000000"/>
            </w:tcBorders>
            <w:shd w:val="clear" w:color="auto" w:fill="auto"/>
            <w:vAlign w:val="center"/>
          </w:tcPr>
          <w:p w14:paraId="24E07EC3" w14:textId="77777777" w:rsidR="0023474F" w:rsidRPr="00A704BC" w:rsidRDefault="0023474F" w:rsidP="00BE6148">
            <w:pPr>
              <w:spacing w:after="0" w:line="240" w:lineRule="auto"/>
              <w:jc w:val="center"/>
              <w:rPr>
                <w:rFonts w:ascii="Times New Roman" w:eastAsia="Times New Roman" w:hAnsi="Times New Roman" w:cs="Times New Roman"/>
                <w:b/>
                <w:bCs/>
                <w:color w:val="000000"/>
                <w:sz w:val="24"/>
                <w:szCs w:val="24"/>
                <w:lang w:eastAsia="pl-PL"/>
              </w:rPr>
            </w:pPr>
            <w:r w:rsidRPr="00A704BC">
              <w:rPr>
                <w:rFonts w:ascii="Times New Roman" w:eastAsia="Times New Roman" w:hAnsi="Times New Roman" w:cs="Times New Roman"/>
                <w:b/>
                <w:bCs/>
                <w:color w:val="000000"/>
                <w:sz w:val="24"/>
                <w:szCs w:val="24"/>
                <w:lang w:eastAsia="pl-PL"/>
              </w:rPr>
              <w:t>DOCHODY</w:t>
            </w:r>
          </w:p>
        </w:tc>
        <w:tc>
          <w:tcPr>
            <w:tcW w:w="1843" w:type="dxa"/>
            <w:tcBorders>
              <w:bottom w:val="single" w:sz="4" w:space="0" w:color="000000"/>
              <w:right w:val="single" w:sz="4" w:space="0" w:color="000000"/>
            </w:tcBorders>
            <w:shd w:val="clear" w:color="auto" w:fill="auto"/>
            <w:vAlign w:val="center"/>
          </w:tcPr>
          <w:p w14:paraId="536BC0C7" w14:textId="77777777" w:rsidR="0023474F" w:rsidRPr="00A704BC" w:rsidRDefault="0023474F" w:rsidP="00BE6148">
            <w:pPr>
              <w:spacing w:after="0" w:line="240" w:lineRule="auto"/>
              <w:jc w:val="center"/>
              <w:rPr>
                <w:rFonts w:ascii="Times New Roman" w:eastAsia="Times New Roman" w:hAnsi="Times New Roman" w:cs="Times New Roman"/>
                <w:b/>
                <w:bCs/>
                <w:color w:val="000000"/>
                <w:sz w:val="24"/>
                <w:szCs w:val="24"/>
                <w:lang w:eastAsia="pl-PL"/>
              </w:rPr>
            </w:pPr>
            <w:r w:rsidRPr="00A704BC">
              <w:rPr>
                <w:rFonts w:ascii="Times New Roman" w:eastAsia="Times New Roman" w:hAnsi="Times New Roman" w:cs="Times New Roman"/>
                <w:b/>
                <w:bCs/>
                <w:color w:val="000000"/>
                <w:sz w:val="24"/>
                <w:szCs w:val="24"/>
                <w:lang w:eastAsia="pl-PL"/>
              </w:rPr>
              <w:t>WYDATKI</w:t>
            </w:r>
          </w:p>
        </w:tc>
      </w:tr>
      <w:tr w:rsidR="0023474F" w:rsidRPr="00A704BC" w14:paraId="261E2B36" w14:textId="77777777" w:rsidTr="00BE6148">
        <w:trPr>
          <w:trHeight w:val="646"/>
        </w:trPr>
        <w:tc>
          <w:tcPr>
            <w:tcW w:w="2547" w:type="dxa"/>
            <w:tcBorders>
              <w:left w:val="single" w:sz="4" w:space="0" w:color="000000"/>
              <w:bottom w:val="single" w:sz="4" w:space="0" w:color="000000"/>
              <w:right w:val="single" w:sz="4" w:space="0" w:color="000000"/>
            </w:tcBorders>
            <w:shd w:val="clear" w:color="auto" w:fill="auto"/>
            <w:vAlign w:val="center"/>
          </w:tcPr>
          <w:p w14:paraId="1A8E305F" w14:textId="694DC958" w:rsidR="0023474F" w:rsidRPr="00A704BC" w:rsidRDefault="00A704BC" w:rsidP="00A704BC">
            <w:pPr>
              <w:spacing w:after="0" w:line="240" w:lineRule="auto"/>
              <w:jc w:val="center"/>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2020</w:t>
            </w:r>
            <w:r w:rsidR="0023474F" w:rsidRPr="00A704BC">
              <w:rPr>
                <w:rFonts w:ascii="Times New Roman" w:eastAsia="Times New Roman" w:hAnsi="Times New Roman" w:cs="Times New Roman"/>
                <w:color w:val="000000"/>
                <w:sz w:val="24"/>
                <w:szCs w:val="24"/>
                <w:lang w:eastAsia="pl-PL"/>
              </w:rPr>
              <w:br/>
            </w:r>
            <w:r w:rsidRPr="00A704BC">
              <w:rPr>
                <w:rFonts w:ascii="Times New Roman" w:eastAsia="Times New Roman" w:hAnsi="Times New Roman" w:cs="Times New Roman"/>
                <w:color w:val="000000"/>
                <w:sz w:val="21"/>
                <w:szCs w:val="21"/>
                <w:lang w:eastAsia="pl-PL"/>
              </w:rPr>
              <w:t>(</w:t>
            </w:r>
            <w:r w:rsidRPr="00A704BC">
              <w:rPr>
                <w:rFonts w:ascii="Times New Roman" w:eastAsia="Times New Roman" w:hAnsi="Times New Roman" w:cs="Times New Roman"/>
                <w:i/>
                <w:iCs/>
                <w:color w:val="000000"/>
                <w:sz w:val="21"/>
                <w:szCs w:val="21"/>
                <w:lang w:eastAsia="pl-PL"/>
              </w:rPr>
              <w:t>Wykonanie 31.12.202</w:t>
            </w:r>
            <w:r>
              <w:rPr>
                <w:rFonts w:ascii="Times New Roman" w:eastAsia="Times New Roman" w:hAnsi="Times New Roman" w:cs="Times New Roman"/>
                <w:i/>
                <w:iCs/>
                <w:color w:val="000000"/>
                <w:sz w:val="21"/>
                <w:szCs w:val="21"/>
                <w:lang w:eastAsia="pl-PL"/>
              </w:rPr>
              <w:t>0</w:t>
            </w:r>
            <w:r w:rsidRPr="00A704BC">
              <w:rPr>
                <w:rFonts w:ascii="Times New Roman" w:eastAsia="Times New Roman" w:hAnsi="Times New Roman" w:cs="Times New Roman"/>
                <w:i/>
                <w:iCs/>
                <w:color w:val="000000"/>
                <w:sz w:val="21"/>
                <w:szCs w:val="21"/>
                <w:lang w:eastAsia="pl-PL"/>
              </w:rPr>
              <w:t xml:space="preserve"> r.</w:t>
            </w:r>
            <w:r>
              <w:rPr>
                <w:rFonts w:ascii="Times New Roman" w:eastAsia="Times New Roman" w:hAnsi="Times New Roman" w:cs="Times New Roman"/>
                <w:i/>
                <w:iCs/>
                <w:color w:val="000000"/>
                <w:sz w:val="21"/>
                <w:szCs w:val="21"/>
                <w:lang w:eastAsia="pl-PL"/>
              </w:rPr>
              <w:t>)</w:t>
            </w:r>
          </w:p>
        </w:tc>
        <w:tc>
          <w:tcPr>
            <w:tcW w:w="1701" w:type="dxa"/>
            <w:tcBorders>
              <w:bottom w:val="single" w:sz="4" w:space="0" w:color="000000"/>
              <w:right w:val="single" w:sz="4" w:space="0" w:color="000000"/>
            </w:tcBorders>
            <w:shd w:val="clear" w:color="auto" w:fill="auto"/>
            <w:vAlign w:val="center"/>
          </w:tcPr>
          <w:p w14:paraId="5BE27651" w14:textId="6F3E1ADD" w:rsidR="0023474F" w:rsidRPr="00A704BC" w:rsidRDefault="00A704BC" w:rsidP="00BE6148">
            <w:pPr>
              <w:spacing w:after="0" w:line="240" w:lineRule="auto"/>
              <w:jc w:val="center"/>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122,00</w:t>
            </w:r>
          </w:p>
        </w:tc>
        <w:tc>
          <w:tcPr>
            <w:tcW w:w="1417" w:type="dxa"/>
            <w:tcBorders>
              <w:bottom w:val="single" w:sz="4" w:space="0" w:color="000000"/>
              <w:right w:val="single" w:sz="4" w:space="0" w:color="000000"/>
            </w:tcBorders>
            <w:shd w:val="clear" w:color="auto" w:fill="auto"/>
            <w:vAlign w:val="center"/>
          </w:tcPr>
          <w:p w14:paraId="19E1D80C" w14:textId="2BC42E37" w:rsidR="0023474F" w:rsidRPr="00A704BC" w:rsidRDefault="00A704BC" w:rsidP="00BE6148">
            <w:pPr>
              <w:spacing w:after="0" w:line="240" w:lineRule="auto"/>
              <w:jc w:val="center"/>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581 629,74</w:t>
            </w:r>
          </w:p>
        </w:tc>
        <w:tc>
          <w:tcPr>
            <w:tcW w:w="1559" w:type="dxa"/>
            <w:tcBorders>
              <w:bottom w:val="single" w:sz="4" w:space="0" w:color="000000"/>
              <w:right w:val="single" w:sz="4" w:space="0" w:color="000000"/>
            </w:tcBorders>
            <w:shd w:val="clear" w:color="auto" w:fill="auto"/>
            <w:vAlign w:val="center"/>
          </w:tcPr>
          <w:p w14:paraId="0829F6F1" w14:textId="5D3C44BD" w:rsidR="0023474F" w:rsidRPr="00A704BC" w:rsidRDefault="00A704BC" w:rsidP="00BE6148">
            <w:pPr>
              <w:spacing w:after="0" w:line="240" w:lineRule="auto"/>
              <w:jc w:val="center"/>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101 025,87</w:t>
            </w:r>
          </w:p>
        </w:tc>
        <w:tc>
          <w:tcPr>
            <w:tcW w:w="1843" w:type="dxa"/>
            <w:tcBorders>
              <w:bottom w:val="single" w:sz="4" w:space="0" w:color="000000"/>
              <w:right w:val="single" w:sz="4" w:space="0" w:color="000000"/>
            </w:tcBorders>
            <w:shd w:val="clear" w:color="auto" w:fill="auto"/>
            <w:vAlign w:val="center"/>
          </w:tcPr>
          <w:p w14:paraId="4CF31FF7" w14:textId="3AFA0DA7" w:rsidR="0023474F" w:rsidRPr="00A704BC" w:rsidRDefault="00A704BC" w:rsidP="00BE6148">
            <w:pPr>
              <w:spacing w:after="0" w:line="240" w:lineRule="auto"/>
              <w:jc w:val="center"/>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101 025,87</w:t>
            </w:r>
          </w:p>
        </w:tc>
      </w:tr>
      <w:tr w:rsidR="0023474F" w:rsidRPr="00A704BC" w14:paraId="6BE3BCA3" w14:textId="77777777" w:rsidTr="00BE6148">
        <w:trPr>
          <w:trHeight w:val="697"/>
        </w:trPr>
        <w:tc>
          <w:tcPr>
            <w:tcW w:w="2547" w:type="dxa"/>
            <w:tcBorders>
              <w:left w:val="single" w:sz="4" w:space="0" w:color="000000"/>
              <w:bottom w:val="single" w:sz="4" w:space="0" w:color="000000"/>
              <w:right w:val="single" w:sz="4" w:space="0" w:color="000000"/>
            </w:tcBorders>
            <w:shd w:val="clear" w:color="auto" w:fill="auto"/>
            <w:vAlign w:val="center"/>
          </w:tcPr>
          <w:p w14:paraId="6E6C8058" w14:textId="096F9386" w:rsidR="0023474F" w:rsidRPr="00A704BC" w:rsidRDefault="00A704BC" w:rsidP="00A704BC">
            <w:pPr>
              <w:spacing w:after="0" w:line="240" w:lineRule="auto"/>
              <w:jc w:val="center"/>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2021</w:t>
            </w:r>
            <w:r w:rsidR="0023474F" w:rsidRPr="00A704BC">
              <w:rPr>
                <w:rFonts w:ascii="Times New Roman" w:eastAsia="Times New Roman" w:hAnsi="Times New Roman" w:cs="Times New Roman"/>
                <w:color w:val="000000"/>
                <w:sz w:val="24"/>
                <w:szCs w:val="24"/>
                <w:lang w:eastAsia="pl-PL"/>
              </w:rPr>
              <w:br/>
            </w:r>
            <w:r w:rsidR="0023474F" w:rsidRPr="00A704BC">
              <w:rPr>
                <w:rFonts w:ascii="Times New Roman" w:eastAsia="Times New Roman" w:hAnsi="Times New Roman" w:cs="Times New Roman"/>
                <w:color w:val="000000"/>
                <w:sz w:val="21"/>
                <w:szCs w:val="21"/>
                <w:lang w:eastAsia="pl-PL"/>
              </w:rPr>
              <w:t>(</w:t>
            </w:r>
            <w:r w:rsidR="0023474F" w:rsidRPr="00A704BC">
              <w:rPr>
                <w:rFonts w:ascii="Times New Roman" w:eastAsia="Times New Roman" w:hAnsi="Times New Roman" w:cs="Times New Roman"/>
                <w:i/>
                <w:iCs/>
                <w:color w:val="000000"/>
                <w:sz w:val="21"/>
                <w:szCs w:val="21"/>
                <w:lang w:eastAsia="pl-PL"/>
              </w:rPr>
              <w:t>Wykonanie 31.12.202</w:t>
            </w:r>
            <w:r>
              <w:rPr>
                <w:rFonts w:ascii="Times New Roman" w:eastAsia="Times New Roman" w:hAnsi="Times New Roman" w:cs="Times New Roman"/>
                <w:i/>
                <w:iCs/>
                <w:color w:val="000000"/>
                <w:sz w:val="21"/>
                <w:szCs w:val="21"/>
                <w:lang w:eastAsia="pl-PL"/>
              </w:rPr>
              <w:t>1</w:t>
            </w:r>
            <w:r w:rsidR="0023474F" w:rsidRPr="00A704BC">
              <w:rPr>
                <w:rFonts w:ascii="Times New Roman" w:eastAsia="Times New Roman" w:hAnsi="Times New Roman" w:cs="Times New Roman"/>
                <w:i/>
                <w:iCs/>
                <w:color w:val="000000"/>
                <w:sz w:val="21"/>
                <w:szCs w:val="21"/>
                <w:lang w:eastAsia="pl-PL"/>
              </w:rPr>
              <w:t xml:space="preserve"> r.</w:t>
            </w:r>
            <w:r>
              <w:rPr>
                <w:rFonts w:ascii="Times New Roman" w:eastAsia="Times New Roman" w:hAnsi="Times New Roman" w:cs="Times New Roman"/>
                <w:i/>
                <w:iCs/>
                <w:color w:val="000000"/>
                <w:sz w:val="21"/>
                <w:szCs w:val="21"/>
                <w:lang w:eastAsia="pl-PL"/>
              </w:rPr>
              <w:t>)</w:t>
            </w:r>
          </w:p>
        </w:tc>
        <w:tc>
          <w:tcPr>
            <w:tcW w:w="1701" w:type="dxa"/>
            <w:tcBorders>
              <w:bottom w:val="single" w:sz="4" w:space="0" w:color="000000"/>
              <w:right w:val="single" w:sz="4" w:space="0" w:color="000000"/>
            </w:tcBorders>
            <w:shd w:val="clear" w:color="auto" w:fill="auto"/>
            <w:vAlign w:val="center"/>
          </w:tcPr>
          <w:p w14:paraId="5384A5FB" w14:textId="04FA8F33" w:rsidR="0023474F" w:rsidRPr="00A704BC" w:rsidRDefault="00A704BC" w:rsidP="00BE6148">
            <w:pPr>
              <w:spacing w:after="0" w:line="240" w:lineRule="auto"/>
              <w:jc w:val="center"/>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17 115,63</w:t>
            </w:r>
          </w:p>
        </w:tc>
        <w:tc>
          <w:tcPr>
            <w:tcW w:w="1417" w:type="dxa"/>
            <w:tcBorders>
              <w:bottom w:val="single" w:sz="4" w:space="0" w:color="000000"/>
              <w:right w:val="single" w:sz="4" w:space="0" w:color="000000"/>
            </w:tcBorders>
            <w:shd w:val="clear" w:color="auto" w:fill="auto"/>
            <w:vAlign w:val="center"/>
          </w:tcPr>
          <w:p w14:paraId="22E06B52" w14:textId="59445DA2" w:rsidR="0023474F" w:rsidRPr="00A704BC" w:rsidRDefault="00A704BC" w:rsidP="00BE6148">
            <w:pPr>
              <w:spacing w:after="0" w:line="240" w:lineRule="auto"/>
              <w:jc w:val="center"/>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796 656,56</w:t>
            </w:r>
          </w:p>
        </w:tc>
        <w:tc>
          <w:tcPr>
            <w:tcW w:w="1559" w:type="dxa"/>
            <w:tcBorders>
              <w:bottom w:val="single" w:sz="4" w:space="0" w:color="000000"/>
              <w:right w:val="single" w:sz="4" w:space="0" w:color="000000"/>
            </w:tcBorders>
            <w:shd w:val="clear" w:color="auto" w:fill="auto"/>
            <w:vAlign w:val="center"/>
          </w:tcPr>
          <w:p w14:paraId="1681FA2A" w14:textId="2D4DBBAA" w:rsidR="0023474F" w:rsidRPr="00A704BC" w:rsidRDefault="00A704BC" w:rsidP="00BE6148">
            <w:pPr>
              <w:spacing w:after="0" w:line="240" w:lineRule="auto"/>
              <w:jc w:val="center"/>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433 816,06</w:t>
            </w:r>
          </w:p>
        </w:tc>
        <w:tc>
          <w:tcPr>
            <w:tcW w:w="1843" w:type="dxa"/>
            <w:tcBorders>
              <w:bottom w:val="single" w:sz="4" w:space="0" w:color="000000"/>
              <w:right w:val="single" w:sz="4" w:space="0" w:color="000000"/>
            </w:tcBorders>
            <w:shd w:val="clear" w:color="auto" w:fill="auto"/>
            <w:vAlign w:val="center"/>
          </w:tcPr>
          <w:p w14:paraId="1366DAC7" w14:textId="2C166EA8" w:rsidR="0023474F" w:rsidRPr="00A704BC" w:rsidRDefault="00A704BC" w:rsidP="00BE6148">
            <w:pPr>
              <w:spacing w:after="0" w:line="240" w:lineRule="auto"/>
              <w:jc w:val="center"/>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433 816,06</w:t>
            </w:r>
          </w:p>
        </w:tc>
      </w:tr>
      <w:tr w:rsidR="0023474F" w:rsidRPr="00A704BC" w14:paraId="769EABE4" w14:textId="77777777" w:rsidTr="00BE6148">
        <w:trPr>
          <w:trHeight w:val="565"/>
        </w:trPr>
        <w:tc>
          <w:tcPr>
            <w:tcW w:w="2547" w:type="dxa"/>
            <w:tcBorders>
              <w:left w:val="single" w:sz="4" w:space="0" w:color="000000"/>
              <w:bottom w:val="single" w:sz="4" w:space="0" w:color="000000"/>
              <w:right w:val="single" w:sz="4" w:space="0" w:color="000000"/>
            </w:tcBorders>
            <w:shd w:val="clear" w:color="auto" w:fill="auto"/>
            <w:vAlign w:val="center"/>
          </w:tcPr>
          <w:p w14:paraId="1AC8A9D6" w14:textId="77777777" w:rsidR="0023474F" w:rsidRPr="00A704BC" w:rsidRDefault="0023474F" w:rsidP="00BE6148">
            <w:pPr>
              <w:spacing w:after="0" w:line="240" w:lineRule="auto"/>
              <w:jc w:val="center"/>
              <w:rPr>
                <w:rFonts w:ascii="Times New Roman" w:eastAsia="Times New Roman" w:hAnsi="Times New Roman" w:cs="Times New Roman"/>
                <w:b/>
                <w:bCs/>
                <w:color w:val="000000"/>
                <w:sz w:val="24"/>
                <w:szCs w:val="24"/>
                <w:lang w:eastAsia="pl-PL"/>
              </w:rPr>
            </w:pPr>
            <w:r w:rsidRPr="00A704BC">
              <w:rPr>
                <w:rFonts w:ascii="Times New Roman" w:eastAsia="Times New Roman" w:hAnsi="Times New Roman" w:cs="Times New Roman"/>
                <w:b/>
                <w:bCs/>
                <w:color w:val="000000"/>
                <w:sz w:val="24"/>
                <w:szCs w:val="24"/>
                <w:lang w:eastAsia="pl-PL"/>
              </w:rPr>
              <w:t>2022</w:t>
            </w:r>
            <w:r w:rsidRPr="00A704BC">
              <w:rPr>
                <w:rFonts w:ascii="Times New Roman" w:eastAsia="Times New Roman" w:hAnsi="Times New Roman" w:cs="Times New Roman"/>
                <w:color w:val="000000"/>
                <w:sz w:val="24"/>
                <w:szCs w:val="24"/>
                <w:lang w:eastAsia="pl-PL"/>
              </w:rPr>
              <w:br/>
            </w:r>
            <w:r w:rsidRPr="00A704BC">
              <w:rPr>
                <w:rFonts w:ascii="Times New Roman" w:eastAsia="Times New Roman" w:hAnsi="Times New Roman" w:cs="Times New Roman"/>
                <w:color w:val="000000"/>
                <w:sz w:val="21"/>
                <w:szCs w:val="21"/>
                <w:lang w:eastAsia="pl-PL"/>
              </w:rPr>
              <w:t>(</w:t>
            </w:r>
            <w:r w:rsidRPr="00A704BC">
              <w:rPr>
                <w:rFonts w:ascii="Times New Roman" w:eastAsia="Times New Roman" w:hAnsi="Times New Roman" w:cs="Times New Roman"/>
                <w:i/>
                <w:iCs/>
                <w:color w:val="000000"/>
                <w:sz w:val="21"/>
                <w:szCs w:val="21"/>
                <w:lang w:eastAsia="pl-PL"/>
              </w:rPr>
              <w:t>Wykonanie 31.12.2022</w:t>
            </w:r>
            <w:r w:rsidRPr="00A704BC">
              <w:rPr>
                <w:rFonts w:ascii="Times New Roman" w:eastAsia="Times New Roman" w:hAnsi="Times New Roman" w:cs="Times New Roman"/>
                <w:i/>
                <w:iCs/>
                <w:color w:val="000000"/>
                <w:sz w:val="24"/>
                <w:szCs w:val="24"/>
                <w:lang w:eastAsia="pl-PL"/>
              </w:rPr>
              <w:t xml:space="preserve"> </w:t>
            </w:r>
            <w:r w:rsidRPr="00A704BC">
              <w:rPr>
                <w:rFonts w:ascii="Times New Roman" w:eastAsia="Times New Roman" w:hAnsi="Times New Roman" w:cs="Times New Roman"/>
                <w:i/>
                <w:iCs/>
                <w:color w:val="000000"/>
                <w:sz w:val="21"/>
                <w:szCs w:val="21"/>
                <w:lang w:eastAsia="pl-PL"/>
              </w:rPr>
              <w:t>r.)</w:t>
            </w:r>
          </w:p>
        </w:tc>
        <w:tc>
          <w:tcPr>
            <w:tcW w:w="1701" w:type="dxa"/>
            <w:tcBorders>
              <w:bottom w:val="single" w:sz="4" w:space="0" w:color="000000"/>
              <w:right w:val="single" w:sz="4" w:space="0" w:color="000000"/>
            </w:tcBorders>
            <w:shd w:val="clear" w:color="auto" w:fill="auto"/>
            <w:vAlign w:val="center"/>
          </w:tcPr>
          <w:p w14:paraId="1F282A85" w14:textId="77777777" w:rsidR="0023474F" w:rsidRPr="00A704BC" w:rsidRDefault="0023474F" w:rsidP="00BE6148">
            <w:pPr>
              <w:spacing w:after="0" w:line="240" w:lineRule="auto"/>
              <w:jc w:val="center"/>
              <w:rPr>
                <w:rFonts w:ascii="Times New Roman" w:eastAsia="Times New Roman" w:hAnsi="Times New Roman" w:cs="Times New Roman"/>
                <w:b/>
                <w:bCs/>
                <w:color w:val="000000"/>
                <w:sz w:val="24"/>
                <w:szCs w:val="24"/>
                <w:lang w:eastAsia="pl-PL"/>
              </w:rPr>
            </w:pPr>
            <w:r w:rsidRPr="00A704BC">
              <w:rPr>
                <w:rFonts w:ascii="Times New Roman" w:eastAsia="Times New Roman" w:hAnsi="Times New Roman" w:cs="Times New Roman"/>
                <w:b/>
                <w:bCs/>
                <w:color w:val="000000"/>
                <w:sz w:val="24"/>
                <w:szCs w:val="24"/>
                <w:lang w:eastAsia="pl-PL"/>
              </w:rPr>
              <w:t>10 597,77</w:t>
            </w:r>
          </w:p>
        </w:tc>
        <w:tc>
          <w:tcPr>
            <w:tcW w:w="1417" w:type="dxa"/>
            <w:tcBorders>
              <w:bottom w:val="single" w:sz="4" w:space="0" w:color="000000"/>
              <w:right w:val="single" w:sz="4" w:space="0" w:color="000000"/>
            </w:tcBorders>
            <w:shd w:val="clear" w:color="auto" w:fill="auto"/>
            <w:vAlign w:val="center"/>
          </w:tcPr>
          <w:p w14:paraId="62F3F77F" w14:textId="77777777" w:rsidR="0023474F" w:rsidRPr="00A704BC" w:rsidRDefault="0023474F" w:rsidP="00BE6148">
            <w:pPr>
              <w:spacing w:after="0" w:line="240" w:lineRule="auto"/>
              <w:jc w:val="center"/>
              <w:rPr>
                <w:rFonts w:ascii="Times New Roman" w:eastAsia="Times New Roman" w:hAnsi="Times New Roman" w:cs="Times New Roman"/>
                <w:b/>
                <w:bCs/>
                <w:color w:val="000000"/>
                <w:sz w:val="24"/>
                <w:szCs w:val="24"/>
                <w:lang w:eastAsia="pl-PL"/>
              </w:rPr>
            </w:pPr>
            <w:r w:rsidRPr="00A704BC">
              <w:rPr>
                <w:rFonts w:ascii="Times New Roman" w:eastAsia="Times New Roman" w:hAnsi="Times New Roman" w:cs="Times New Roman"/>
                <w:b/>
                <w:bCs/>
                <w:color w:val="000000"/>
                <w:sz w:val="24"/>
                <w:szCs w:val="24"/>
                <w:lang w:eastAsia="pl-PL"/>
              </w:rPr>
              <w:t>720 416,73</w:t>
            </w:r>
          </w:p>
        </w:tc>
        <w:tc>
          <w:tcPr>
            <w:tcW w:w="1559" w:type="dxa"/>
            <w:tcBorders>
              <w:bottom w:val="single" w:sz="4" w:space="0" w:color="000000"/>
              <w:right w:val="single" w:sz="4" w:space="0" w:color="000000"/>
            </w:tcBorders>
            <w:shd w:val="clear" w:color="auto" w:fill="auto"/>
            <w:vAlign w:val="center"/>
          </w:tcPr>
          <w:p w14:paraId="446AB268" w14:textId="77777777" w:rsidR="0023474F" w:rsidRPr="00A704BC" w:rsidRDefault="0023474F" w:rsidP="00BE6148">
            <w:pPr>
              <w:spacing w:after="0" w:line="240" w:lineRule="auto"/>
              <w:jc w:val="center"/>
              <w:rPr>
                <w:rFonts w:ascii="Times New Roman" w:eastAsia="Times New Roman" w:hAnsi="Times New Roman" w:cs="Times New Roman"/>
                <w:b/>
                <w:bCs/>
                <w:color w:val="000000"/>
                <w:sz w:val="24"/>
                <w:szCs w:val="24"/>
                <w:lang w:eastAsia="pl-PL"/>
              </w:rPr>
            </w:pPr>
            <w:r w:rsidRPr="00A704BC">
              <w:rPr>
                <w:rFonts w:ascii="Times New Roman" w:eastAsia="Times New Roman" w:hAnsi="Times New Roman" w:cs="Times New Roman"/>
                <w:b/>
                <w:bCs/>
                <w:color w:val="000000"/>
                <w:sz w:val="24"/>
                <w:szCs w:val="24"/>
                <w:lang w:eastAsia="pl-PL"/>
              </w:rPr>
              <w:t>249 904,27</w:t>
            </w:r>
          </w:p>
        </w:tc>
        <w:tc>
          <w:tcPr>
            <w:tcW w:w="1843" w:type="dxa"/>
            <w:tcBorders>
              <w:bottom w:val="single" w:sz="4" w:space="0" w:color="000000"/>
              <w:right w:val="single" w:sz="4" w:space="0" w:color="000000"/>
            </w:tcBorders>
            <w:shd w:val="clear" w:color="auto" w:fill="auto"/>
            <w:vAlign w:val="center"/>
          </w:tcPr>
          <w:p w14:paraId="4C4B0F81" w14:textId="77777777" w:rsidR="0023474F" w:rsidRPr="00A704BC" w:rsidRDefault="0023474F" w:rsidP="00BE6148">
            <w:pPr>
              <w:spacing w:after="0" w:line="240" w:lineRule="auto"/>
              <w:jc w:val="center"/>
              <w:rPr>
                <w:rFonts w:ascii="Times New Roman" w:eastAsia="Times New Roman" w:hAnsi="Times New Roman" w:cs="Times New Roman"/>
                <w:b/>
                <w:bCs/>
                <w:color w:val="000000"/>
                <w:sz w:val="24"/>
                <w:szCs w:val="24"/>
                <w:lang w:eastAsia="pl-PL"/>
              </w:rPr>
            </w:pPr>
            <w:r w:rsidRPr="00A704BC">
              <w:rPr>
                <w:rFonts w:ascii="Times New Roman" w:eastAsia="Times New Roman" w:hAnsi="Times New Roman" w:cs="Times New Roman"/>
                <w:b/>
                <w:bCs/>
                <w:color w:val="000000"/>
                <w:sz w:val="24"/>
                <w:szCs w:val="24"/>
                <w:lang w:eastAsia="pl-PL"/>
              </w:rPr>
              <w:t>237 091,92</w:t>
            </w:r>
          </w:p>
        </w:tc>
      </w:tr>
      <w:tr w:rsidR="00A704BC" w:rsidRPr="00A704BC" w14:paraId="077ED692" w14:textId="77777777" w:rsidTr="00BE6148">
        <w:trPr>
          <w:trHeight w:val="701"/>
        </w:trPr>
        <w:tc>
          <w:tcPr>
            <w:tcW w:w="2547" w:type="dxa"/>
            <w:tcBorders>
              <w:left w:val="single" w:sz="4" w:space="0" w:color="000000"/>
              <w:bottom w:val="single" w:sz="4" w:space="0" w:color="000000"/>
              <w:right w:val="single" w:sz="4" w:space="0" w:color="000000"/>
            </w:tcBorders>
            <w:shd w:val="clear" w:color="auto" w:fill="auto"/>
            <w:vAlign w:val="center"/>
          </w:tcPr>
          <w:p w14:paraId="40353679" w14:textId="04A33DB7" w:rsidR="00A704BC" w:rsidRPr="00A704BC" w:rsidRDefault="00A704BC" w:rsidP="00A704BC">
            <w:pPr>
              <w:spacing w:after="0" w:line="240" w:lineRule="auto"/>
              <w:jc w:val="center"/>
              <w:rPr>
                <w:rFonts w:ascii="Times New Roman" w:eastAsia="Times New Roman" w:hAnsi="Times New Roman" w:cs="Times New Roman"/>
                <w:b/>
                <w:bCs/>
                <w:color w:val="000000"/>
                <w:sz w:val="24"/>
                <w:szCs w:val="24"/>
                <w:lang w:eastAsia="pl-PL"/>
              </w:rPr>
            </w:pPr>
            <w:r w:rsidRPr="00A704BC">
              <w:rPr>
                <w:rFonts w:ascii="Times New Roman" w:eastAsia="Times New Roman" w:hAnsi="Times New Roman" w:cs="Times New Roman"/>
                <w:b/>
                <w:bCs/>
                <w:color w:val="000000"/>
                <w:sz w:val="24"/>
                <w:szCs w:val="24"/>
                <w:lang w:eastAsia="pl-PL"/>
              </w:rPr>
              <w:t>2023</w:t>
            </w:r>
            <w:r w:rsidRPr="00A704BC">
              <w:rPr>
                <w:rFonts w:ascii="Times New Roman" w:eastAsia="Times New Roman" w:hAnsi="Times New Roman" w:cs="Times New Roman"/>
                <w:color w:val="000000"/>
                <w:sz w:val="24"/>
                <w:szCs w:val="24"/>
                <w:lang w:eastAsia="pl-PL"/>
              </w:rPr>
              <w:br/>
            </w:r>
            <w:r w:rsidRPr="00A704BC">
              <w:rPr>
                <w:rFonts w:ascii="Times New Roman" w:eastAsia="Times New Roman" w:hAnsi="Times New Roman" w:cs="Times New Roman"/>
                <w:color w:val="000000"/>
                <w:sz w:val="21"/>
                <w:szCs w:val="21"/>
                <w:lang w:eastAsia="pl-PL"/>
              </w:rPr>
              <w:t>(</w:t>
            </w:r>
            <w:r w:rsidRPr="00A704BC">
              <w:rPr>
                <w:rFonts w:ascii="Times New Roman" w:eastAsia="Times New Roman" w:hAnsi="Times New Roman" w:cs="Times New Roman"/>
                <w:i/>
                <w:iCs/>
                <w:color w:val="000000"/>
                <w:sz w:val="21"/>
                <w:szCs w:val="21"/>
                <w:lang w:eastAsia="pl-PL"/>
              </w:rPr>
              <w:t>Wykonanie 31.12.2023 r.)</w:t>
            </w:r>
          </w:p>
        </w:tc>
        <w:tc>
          <w:tcPr>
            <w:tcW w:w="1701" w:type="dxa"/>
            <w:tcBorders>
              <w:bottom w:val="single" w:sz="4" w:space="0" w:color="000000"/>
              <w:right w:val="single" w:sz="4" w:space="0" w:color="000000"/>
            </w:tcBorders>
            <w:shd w:val="clear" w:color="auto" w:fill="auto"/>
            <w:vAlign w:val="center"/>
          </w:tcPr>
          <w:p w14:paraId="5477A87B" w14:textId="05834A02" w:rsidR="00A704BC" w:rsidRPr="00A704BC" w:rsidRDefault="00A704BC" w:rsidP="00A704BC">
            <w:pPr>
              <w:spacing w:after="0" w:line="240" w:lineRule="auto"/>
              <w:jc w:val="center"/>
              <w:rPr>
                <w:rFonts w:ascii="Times New Roman" w:eastAsia="Times New Roman" w:hAnsi="Times New Roman" w:cs="Times New Roman"/>
                <w:b/>
                <w:bCs/>
                <w:color w:val="000000"/>
                <w:sz w:val="24"/>
                <w:szCs w:val="24"/>
                <w:lang w:eastAsia="pl-PL"/>
              </w:rPr>
            </w:pPr>
            <w:r w:rsidRPr="00A704BC">
              <w:rPr>
                <w:rFonts w:ascii="Times New Roman" w:eastAsia="Times New Roman" w:hAnsi="Times New Roman" w:cs="Times New Roman"/>
                <w:b/>
                <w:bCs/>
                <w:color w:val="000000"/>
                <w:sz w:val="24"/>
                <w:szCs w:val="24"/>
                <w:lang w:eastAsia="pl-PL"/>
              </w:rPr>
              <w:t>23 066,00</w:t>
            </w:r>
          </w:p>
        </w:tc>
        <w:tc>
          <w:tcPr>
            <w:tcW w:w="1417" w:type="dxa"/>
            <w:tcBorders>
              <w:bottom w:val="single" w:sz="4" w:space="0" w:color="000000"/>
              <w:right w:val="single" w:sz="4" w:space="0" w:color="000000"/>
            </w:tcBorders>
            <w:shd w:val="clear" w:color="auto" w:fill="auto"/>
            <w:vAlign w:val="center"/>
          </w:tcPr>
          <w:p w14:paraId="0D875F70" w14:textId="18BAEEDE" w:rsidR="00A704BC" w:rsidRPr="00A704BC" w:rsidRDefault="00A704BC" w:rsidP="00A704BC">
            <w:pPr>
              <w:spacing w:after="0" w:line="240" w:lineRule="auto"/>
              <w:jc w:val="center"/>
              <w:rPr>
                <w:rFonts w:ascii="Times New Roman" w:eastAsia="Times New Roman" w:hAnsi="Times New Roman" w:cs="Times New Roman"/>
                <w:b/>
                <w:bCs/>
                <w:color w:val="000000"/>
                <w:sz w:val="24"/>
                <w:szCs w:val="24"/>
                <w:lang w:eastAsia="pl-PL"/>
              </w:rPr>
            </w:pPr>
            <w:r w:rsidRPr="00A704BC">
              <w:rPr>
                <w:rFonts w:ascii="Times New Roman" w:eastAsia="Times New Roman" w:hAnsi="Times New Roman" w:cs="Times New Roman"/>
                <w:b/>
                <w:bCs/>
                <w:color w:val="000000"/>
                <w:sz w:val="24"/>
                <w:szCs w:val="24"/>
                <w:lang w:eastAsia="pl-PL"/>
              </w:rPr>
              <w:t>799 825,44</w:t>
            </w:r>
          </w:p>
        </w:tc>
        <w:tc>
          <w:tcPr>
            <w:tcW w:w="1559" w:type="dxa"/>
            <w:tcBorders>
              <w:bottom w:val="single" w:sz="4" w:space="0" w:color="000000"/>
              <w:right w:val="single" w:sz="4" w:space="0" w:color="000000"/>
            </w:tcBorders>
            <w:shd w:val="clear" w:color="auto" w:fill="auto"/>
            <w:vAlign w:val="center"/>
          </w:tcPr>
          <w:p w14:paraId="1D64FC9E" w14:textId="566A80B5" w:rsidR="00A704BC" w:rsidRPr="00A704BC" w:rsidRDefault="00A704BC" w:rsidP="00A704BC">
            <w:pPr>
              <w:spacing w:after="0" w:line="240" w:lineRule="auto"/>
              <w:jc w:val="center"/>
              <w:rPr>
                <w:rFonts w:ascii="Times New Roman" w:eastAsia="Times New Roman" w:hAnsi="Times New Roman" w:cs="Times New Roman"/>
                <w:b/>
                <w:bCs/>
                <w:color w:val="000000"/>
                <w:sz w:val="24"/>
                <w:szCs w:val="24"/>
                <w:lang w:eastAsia="pl-PL"/>
              </w:rPr>
            </w:pPr>
            <w:r w:rsidRPr="00A704BC">
              <w:rPr>
                <w:rFonts w:ascii="Times New Roman" w:eastAsia="Times New Roman" w:hAnsi="Times New Roman" w:cs="Times New Roman"/>
                <w:b/>
                <w:bCs/>
                <w:color w:val="000000"/>
                <w:sz w:val="24"/>
                <w:szCs w:val="24"/>
                <w:lang w:eastAsia="pl-PL"/>
              </w:rPr>
              <w:t>24 691,16</w:t>
            </w:r>
          </w:p>
        </w:tc>
        <w:tc>
          <w:tcPr>
            <w:tcW w:w="1843" w:type="dxa"/>
            <w:tcBorders>
              <w:bottom w:val="single" w:sz="4" w:space="0" w:color="000000"/>
              <w:right w:val="single" w:sz="4" w:space="0" w:color="000000"/>
            </w:tcBorders>
            <w:shd w:val="clear" w:color="auto" w:fill="auto"/>
            <w:vAlign w:val="center"/>
          </w:tcPr>
          <w:p w14:paraId="463C0454" w14:textId="4ED87339" w:rsidR="00A704BC" w:rsidRPr="00A704BC" w:rsidRDefault="00A704BC" w:rsidP="00A704BC">
            <w:pPr>
              <w:spacing w:after="0" w:line="240" w:lineRule="auto"/>
              <w:jc w:val="center"/>
              <w:rPr>
                <w:rFonts w:ascii="Times New Roman" w:eastAsia="Times New Roman" w:hAnsi="Times New Roman" w:cs="Times New Roman"/>
                <w:b/>
                <w:bCs/>
                <w:color w:val="000000"/>
                <w:sz w:val="24"/>
                <w:szCs w:val="24"/>
                <w:lang w:eastAsia="pl-PL"/>
              </w:rPr>
            </w:pPr>
            <w:r w:rsidRPr="00A704BC">
              <w:rPr>
                <w:rFonts w:ascii="Times New Roman" w:eastAsia="Times New Roman" w:hAnsi="Times New Roman" w:cs="Times New Roman"/>
                <w:b/>
                <w:bCs/>
                <w:color w:val="000000"/>
                <w:sz w:val="24"/>
                <w:szCs w:val="24"/>
                <w:lang w:eastAsia="pl-PL"/>
              </w:rPr>
              <w:t>22 037,88</w:t>
            </w:r>
          </w:p>
        </w:tc>
      </w:tr>
      <w:tr w:rsidR="00A704BC" w:rsidRPr="00A704BC" w14:paraId="311E28B7" w14:textId="77777777" w:rsidTr="00BE6148">
        <w:trPr>
          <w:trHeight w:val="684"/>
        </w:trPr>
        <w:tc>
          <w:tcPr>
            <w:tcW w:w="2547" w:type="dxa"/>
            <w:tcBorders>
              <w:left w:val="single" w:sz="4" w:space="0" w:color="000000"/>
              <w:bottom w:val="single" w:sz="4" w:space="0" w:color="000000"/>
              <w:right w:val="single" w:sz="4" w:space="0" w:color="000000"/>
            </w:tcBorders>
            <w:shd w:val="clear" w:color="auto" w:fill="auto"/>
            <w:vAlign w:val="center"/>
          </w:tcPr>
          <w:p w14:paraId="27FA6087" w14:textId="0ACA95D4" w:rsidR="00A704BC" w:rsidRPr="00A704BC" w:rsidRDefault="00A704BC" w:rsidP="00A704BC">
            <w:pPr>
              <w:spacing w:after="0" w:line="240" w:lineRule="auto"/>
              <w:jc w:val="center"/>
              <w:rPr>
                <w:rFonts w:ascii="Times New Roman" w:eastAsia="Times New Roman" w:hAnsi="Times New Roman" w:cs="Times New Roman"/>
                <w:color w:val="000000"/>
                <w:sz w:val="24"/>
                <w:szCs w:val="24"/>
                <w:lang w:eastAsia="pl-PL"/>
              </w:rPr>
            </w:pPr>
            <w:r w:rsidRPr="00A704BC">
              <w:rPr>
                <w:rFonts w:ascii="Times New Roman" w:eastAsia="Times New Roman" w:hAnsi="Times New Roman" w:cs="Times New Roman"/>
                <w:b/>
                <w:bCs/>
                <w:color w:val="000000"/>
                <w:sz w:val="24"/>
                <w:szCs w:val="24"/>
                <w:lang w:eastAsia="pl-PL"/>
              </w:rPr>
              <w:t>2024</w:t>
            </w:r>
            <w:r w:rsidRPr="00A704BC">
              <w:rPr>
                <w:rFonts w:ascii="Times New Roman" w:eastAsia="Times New Roman" w:hAnsi="Times New Roman" w:cs="Times New Roman"/>
                <w:color w:val="000000"/>
                <w:sz w:val="24"/>
                <w:szCs w:val="24"/>
                <w:lang w:eastAsia="pl-PL"/>
              </w:rPr>
              <w:br/>
            </w:r>
            <w:r w:rsidRPr="00A704BC">
              <w:rPr>
                <w:rFonts w:ascii="Times New Roman" w:eastAsia="Times New Roman" w:hAnsi="Times New Roman" w:cs="Times New Roman"/>
                <w:i/>
                <w:iCs/>
                <w:color w:val="000000"/>
                <w:sz w:val="21"/>
                <w:szCs w:val="21"/>
                <w:lang w:eastAsia="pl-PL"/>
              </w:rPr>
              <w:t>Plan na 25.09.2024</w:t>
            </w:r>
          </w:p>
        </w:tc>
        <w:tc>
          <w:tcPr>
            <w:tcW w:w="1701" w:type="dxa"/>
            <w:tcBorders>
              <w:bottom w:val="single" w:sz="4" w:space="0" w:color="000000"/>
              <w:right w:val="single" w:sz="4" w:space="0" w:color="000000"/>
            </w:tcBorders>
            <w:shd w:val="clear" w:color="auto" w:fill="auto"/>
            <w:vAlign w:val="center"/>
          </w:tcPr>
          <w:p w14:paraId="4B55EB71" w14:textId="66DB146B" w:rsidR="00A704BC" w:rsidRPr="00A704BC" w:rsidRDefault="00A704BC" w:rsidP="00A704BC">
            <w:pPr>
              <w:spacing w:after="0" w:line="240" w:lineRule="auto"/>
              <w:jc w:val="center"/>
              <w:rPr>
                <w:rFonts w:ascii="Times New Roman" w:eastAsia="Times New Roman" w:hAnsi="Times New Roman" w:cs="Times New Roman"/>
                <w:b/>
                <w:bCs/>
                <w:color w:val="000000"/>
                <w:sz w:val="24"/>
                <w:szCs w:val="24"/>
                <w:lang w:eastAsia="pl-PL"/>
              </w:rPr>
            </w:pPr>
            <w:r w:rsidRPr="00A704BC">
              <w:rPr>
                <w:rFonts w:ascii="Times New Roman" w:eastAsia="Times New Roman" w:hAnsi="Times New Roman" w:cs="Times New Roman"/>
                <w:b/>
                <w:bCs/>
                <w:color w:val="000000"/>
                <w:sz w:val="24"/>
                <w:szCs w:val="24"/>
                <w:lang w:eastAsia="pl-PL"/>
              </w:rPr>
              <w:t>294,00</w:t>
            </w:r>
          </w:p>
        </w:tc>
        <w:tc>
          <w:tcPr>
            <w:tcW w:w="1417" w:type="dxa"/>
            <w:tcBorders>
              <w:bottom w:val="single" w:sz="4" w:space="0" w:color="000000"/>
              <w:right w:val="single" w:sz="4" w:space="0" w:color="000000"/>
            </w:tcBorders>
            <w:shd w:val="clear" w:color="auto" w:fill="auto"/>
            <w:vAlign w:val="center"/>
          </w:tcPr>
          <w:p w14:paraId="3A362412" w14:textId="7DAB3432" w:rsidR="00A704BC" w:rsidRPr="00A704BC" w:rsidRDefault="00A704BC" w:rsidP="00A704BC">
            <w:pPr>
              <w:spacing w:after="0" w:line="240" w:lineRule="auto"/>
              <w:jc w:val="center"/>
              <w:rPr>
                <w:rFonts w:ascii="Times New Roman" w:eastAsia="Times New Roman" w:hAnsi="Times New Roman" w:cs="Times New Roman"/>
                <w:b/>
                <w:bCs/>
                <w:color w:val="000000"/>
                <w:sz w:val="24"/>
                <w:szCs w:val="24"/>
                <w:lang w:eastAsia="pl-PL"/>
              </w:rPr>
            </w:pPr>
            <w:r w:rsidRPr="00A704BC">
              <w:rPr>
                <w:rFonts w:ascii="Times New Roman" w:eastAsia="Times New Roman" w:hAnsi="Times New Roman" w:cs="Times New Roman"/>
                <w:b/>
                <w:bCs/>
                <w:color w:val="000000"/>
                <w:sz w:val="24"/>
                <w:szCs w:val="24"/>
                <w:lang w:eastAsia="pl-PL"/>
              </w:rPr>
              <w:t>1 030 465,00</w:t>
            </w:r>
          </w:p>
        </w:tc>
        <w:tc>
          <w:tcPr>
            <w:tcW w:w="1559" w:type="dxa"/>
            <w:tcBorders>
              <w:bottom w:val="single" w:sz="4" w:space="0" w:color="000000"/>
              <w:right w:val="single" w:sz="4" w:space="0" w:color="000000"/>
            </w:tcBorders>
            <w:shd w:val="clear" w:color="auto" w:fill="auto"/>
            <w:vAlign w:val="center"/>
          </w:tcPr>
          <w:p w14:paraId="4A128E18" w14:textId="2BFE4E83" w:rsidR="00A704BC" w:rsidRPr="00A704BC" w:rsidRDefault="00A704BC" w:rsidP="00A704BC">
            <w:pPr>
              <w:spacing w:after="0" w:line="240" w:lineRule="auto"/>
              <w:jc w:val="center"/>
              <w:rPr>
                <w:rFonts w:ascii="Times New Roman" w:eastAsia="Times New Roman" w:hAnsi="Times New Roman" w:cs="Times New Roman"/>
                <w:b/>
                <w:bCs/>
                <w:color w:val="000000"/>
                <w:sz w:val="24"/>
                <w:szCs w:val="24"/>
                <w:lang w:eastAsia="pl-PL"/>
              </w:rPr>
            </w:pPr>
            <w:r w:rsidRPr="00A704BC">
              <w:rPr>
                <w:rFonts w:ascii="Times New Roman" w:eastAsia="Times New Roman" w:hAnsi="Times New Roman" w:cs="Times New Roman"/>
                <w:b/>
                <w:bCs/>
                <w:color w:val="000000"/>
                <w:sz w:val="24"/>
                <w:szCs w:val="24"/>
                <w:lang w:eastAsia="pl-PL"/>
              </w:rPr>
              <w:t>65 000,00</w:t>
            </w:r>
          </w:p>
        </w:tc>
        <w:tc>
          <w:tcPr>
            <w:tcW w:w="1843" w:type="dxa"/>
            <w:tcBorders>
              <w:bottom w:val="single" w:sz="4" w:space="0" w:color="000000"/>
              <w:right w:val="single" w:sz="4" w:space="0" w:color="000000"/>
            </w:tcBorders>
            <w:shd w:val="clear" w:color="auto" w:fill="auto"/>
            <w:vAlign w:val="center"/>
          </w:tcPr>
          <w:p w14:paraId="44E21A77" w14:textId="5616C43E" w:rsidR="00A704BC" w:rsidRPr="00A704BC" w:rsidRDefault="00A704BC" w:rsidP="00A704BC">
            <w:pPr>
              <w:spacing w:after="0" w:line="240" w:lineRule="auto"/>
              <w:jc w:val="center"/>
              <w:rPr>
                <w:rFonts w:ascii="Times New Roman" w:eastAsia="Times New Roman" w:hAnsi="Times New Roman" w:cs="Times New Roman"/>
                <w:b/>
                <w:bCs/>
                <w:color w:val="000000"/>
                <w:sz w:val="24"/>
                <w:szCs w:val="24"/>
                <w:lang w:eastAsia="pl-PL"/>
              </w:rPr>
            </w:pPr>
            <w:r w:rsidRPr="00A704BC">
              <w:rPr>
                <w:rFonts w:ascii="Times New Roman" w:eastAsia="Times New Roman" w:hAnsi="Times New Roman" w:cs="Times New Roman"/>
                <w:b/>
                <w:bCs/>
                <w:color w:val="000000"/>
                <w:sz w:val="24"/>
                <w:szCs w:val="24"/>
                <w:lang w:eastAsia="pl-PL"/>
              </w:rPr>
              <w:t>65 000,00</w:t>
            </w:r>
          </w:p>
        </w:tc>
      </w:tr>
    </w:tbl>
    <w:p w14:paraId="6D0CB404" w14:textId="77777777" w:rsidR="0023474F" w:rsidRPr="00A704BC" w:rsidRDefault="0023474F" w:rsidP="0023474F">
      <w:pPr>
        <w:ind w:firstLine="284"/>
        <w:jc w:val="both"/>
        <w:rPr>
          <w:rFonts w:ascii="Times New Roman" w:hAnsi="Times New Roman" w:cs="Times New Roman"/>
          <w:sz w:val="24"/>
          <w:szCs w:val="24"/>
        </w:rPr>
      </w:pPr>
    </w:p>
    <w:p w14:paraId="1B62FEDB" w14:textId="77777777" w:rsidR="0023474F" w:rsidRPr="00A704BC" w:rsidRDefault="0023474F" w:rsidP="0023474F">
      <w:pPr>
        <w:ind w:firstLine="284"/>
        <w:jc w:val="both"/>
        <w:rPr>
          <w:rFonts w:ascii="Times New Roman" w:hAnsi="Times New Roman" w:cs="Times New Roman"/>
          <w:sz w:val="24"/>
          <w:szCs w:val="24"/>
        </w:rPr>
      </w:pPr>
      <w:r w:rsidRPr="00A704BC">
        <w:rPr>
          <w:rFonts w:ascii="Times New Roman" w:hAnsi="Times New Roman" w:cs="Times New Roman"/>
          <w:sz w:val="24"/>
          <w:szCs w:val="24"/>
        </w:rPr>
        <w:t>Na przestrzeni lat zadania wynikające z przepisów  prawa realizowane były w sposób właściwy. Jednakże gospodarka finansowa jednostki budziła i budzi zastrzeżenia czego odzwierciedleniem są wyniki kontroli realizowanej przez Biuro Kontroli Urzędu Miasta. Poważne trudności rodziła i rodzi również realizacja projektów z wykorzystaniem środków europejskich. Wskazywać to może na fakt, iż gospodarka finansowa Centrum mimo wielokrotnie udzielanego wsparcia przez Wydział Edukacji Urzędu Miasta, przerasta możliwości osób nią zarządzających.</w:t>
      </w:r>
    </w:p>
    <w:p w14:paraId="3FD7E5B6" w14:textId="77777777" w:rsidR="0023474F" w:rsidRPr="00A704BC" w:rsidRDefault="0023474F" w:rsidP="0023474F">
      <w:pPr>
        <w:ind w:firstLine="284"/>
        <w:jc w:val="both"/>
        <w:rPr>
          <w:rFonts w:ascii="Times New Roman" w:hAnsi="Times New Roman" w:cs="Times New Roman"/>
          <w:sz w:val="24"/>
          <w:szCs w:val="24"/>
        </w:rPr>
      </w:pPr>
      <w:r w:rsidRPr="00A704BC">
        <w:rPr>
          <w:rFonts w:ascii="Times New Roman" w:hAnsi="Times New Roman" w:cs="Times New Roman"/>
          <w:sz w:val="24"/>
          <w:szCs w:val="24"/>
        </w:rPr>
        <w:t xml:space="preserve">Likwidacja Centrum nie ograniczy możliwości doskonalenia zawodowego nauczycieli zatrudnionych w szkołach i placówkach prowadzonych przez Miasto Olsztyn, gdyż pozostaje możliwość korzystania przez nauczycieli z doskonalenia zawodowego prowadzonego przez Warmińsko-Mazurski Ośrodek Doskonalenia Nauczycieli oraz korzystania przez nauczycieli ze szkoleń lub seminariów on-line, wideo-szkoleń. Pandemia Covid -19 mimo ogromnie negatywnych skutków dla społeczeństw, przyczyniła się do rozwoju e-usług, w tym e-doskonalenia. Coraz więcej form doskonalenia i rozwoju zawodowego odbywa się dziś on-line przy wykorzystaniu platform cyfrowych, edukacyjnych. Popularne e-doskonalenie pozwala oszczędzić czas na dojazdy na szkolenia, jak również pieniądze. W przypadku szkoleniowych rad pedagogicznych istnieje możliwość odbywania ich bezpośrednio w jednostkach oświatowych, które same zgodnie z wymogami prawa dostosowują formy, rodzaje i techniki doskonalenia w oparciu o diagnozę potrzeb szkoły. Obecnie w jednostkach prowadzonych przez Miasto Olsztyn przeważająca liczba nauczycieli to nauczyciele dyplomowani (wg. danych z SIO na dzień 30.09.2024 r. na 3307 nauczycieli, 2063 posiada stopień nauczyciela dyplomowanego), co powoduje, że potrzeby korzystania z doskonalenia, w tym z tzw. krótkich form stopniowo maleją. </w:t>
      </w:r>
    </w:p>
    <w:p w14:paraId="58943BE6" w14:textId="3F8F94DF" w:rsidR="0023474F" w:rsidRPr="00A704BC" w:rsidRDefault="0023474F" w:rsidP="0023474F">
      <w:pPr>
        <w:ind w:firstLine="284"/>
        <w:jc w:val="both"/>
        <w:rPr>
          <w:rFonts w:ascii="Times New Roman" w:hAnsi="Times New Roman" w:cs="Times New Roman"/>
          <w:sz w:val="24"/>
          <w:szCs w:val="24"/>
        </w:rPr>
      </w:pPr>
      <w:r w:rsidRPr="00A704BC">
        <w:rPr>
          <w:rFonts w:ascii="Times New Roman" w:hAnsi="Times New Roman" w:cs="Times New Roman"/>
          <w:sz w:val="24"/>
          <w:szCs w:val="24"/>
        </w:rPr>
        <w:t xml:space="preserve">Natomiast jak wynika z informacji zamieszczonych na stronie </w:t>
      </w:r>
      <w:hyperlink r:id="rId8" w:history="1">
        <w:r w:rsidRPr="00A704BC">
          <w:rPr>
            <w:rStyle w:val="Hipercze"/>
            <w:rFonts w:ascii="Times New Roman" w:hAnsi="Times New Roman" w:cs="Times New Roman"/>
            <w:sz w:val="24"/>
            <w:szCs w:val="24"/>
          </w:rPr>
          <w:t>www.portalsamorzadowy.pl</w:t>
        </w:r>
      </w:hyperlink>
      <w:r w:rsidRPr="00A704BC">
        <w:rPr>
          <w:rFonts w:ascii="Times New Roman" w:hAnsi="Times New Roman" w:cs="Times New Roman"/>
          <w:sz w:val="24"/>
          <w:szCs w:val="24"/>
        </w:rPr>
        <w:t xml:space="preserve"> dnia 13 września 2024 r. wzrasta potrzeba wspierania doskonalenia zawodowego w zakresie podnoszenia i zmian kwalifikacji w formie studiów podyplomowych czy studiów magisterskich (wieloprzedmiotowość, nauczyciele specjaliści itp.) czyli form, których nie może oferować </w:t>
      </w:r>
      <w:r w:rsidRPr="00A704BC">
        <w:rPr>
          <w:rFonts w:ascii="Times New Roman" w:hAnsi="Times New Roman" w:cs="Times New Roman"/>
          <w:sz w:val="24"/>
          <w:szCs w:val="24"/>
        </w:rPr>
        <w:lastRenderedPageBreak/>
        <w:t>Centrum. W związku z powyższym właściwym obecnie rozwiązaniem będzie poszerzenie zasobu kadrowego Wydziału Edukacji o 1 etat oraz przekazanie do jednostek oświatowych środków finansowych przeznaczonych na realizację przygotowanych przez szkoły planów wewnątrzszkolnego doskonalenia zawodowego nauczycieli, zawierających wszystkie dostępne formy związane z rozwojem zawodowym nauczycieli, specjalistów i rad pedagogicznych. W</w:t>
      </w:r>
      <w:r w:rsidR="00481DA2">
        <w:rPr>
          <w:rFonts w:ascii="Times New Roman" w:hAnsi="Times New Roman" w:cs="Times New Roman"/>
          <w:sz w:val="24"/>
          <w:szCs w:val="24"/>
        </w:rPr>
        <w:t> </w:t>
      </w:r>
      <w:r w:rsidRPr="00A704BC">
        <w:rPr>
          <w:rFonts w:ascii="Times New Roman" w:hAnsi="Times New Roman" w:cs="Times New Roman"/>
          <w:sz w:val="24"/>
          <w:szCs w:val="24"/>
        </w:rPr>
        <w:t>ten sposób dyrektorzy jednostek oświatowych będą mogli w pełni wykorzystać możliwość szkolenia kadry nauczycieli i specjalistów zgodnie z potrzebami wynikającymi ze</w:t>
      </w:r>
      <w:r w:rsidR="00481DA2">
        <w:rPr>
          <w:rFonts w:ascii="Times New Roman" w:hAnsi="Times New Roman" w:cs="Times New Roman"/>
          <w:sz w:val="24"/>
          <w:szCs w:val="24"/>
        </w:rPr>
        <w:t> </w:t>
      </w:r>
      <w:r w:rsidRPr="00A704BC">
        <w:rPr>
          <w:rFonts w:ascii="Times New Roman" w:hAnsi="Times New Roman" w:cs="Times New Roman"/>
          <w:sz w:val="24"/>
          <w:szCs w:val="24"/>
        </w:rPr>
        <w:t xml:space="preserve">zdiagnozowanych przez same jednostki potrzeb. </w:t>
      </w:r>
    </w:p>
    <w:p w14:paraId="49CADD04" w14:textId="22590E55" w:rsidR="0023474F" w:rsidRPr="00A704BC" w:rsidRDefault="0023474F" w:rsidP="0023474F">
      <w:pPr>
        <w:ind w:firstLine="284"/>
        <w:jc w:val="both"/>
        <w:rPr>
          <w:rFonts w:ascii="Times New Roman" w:hAnsi="Times New Roman" w:cs="Times New Roman"/>
          <w:sz w:val="24"/>
          <w:szCs w:val="24"/>
        </w:rPr>
      </w:pPr>
      <w:r w:rsidRPr="00A704BC">
        <w:rPr>
          <w:rFonts w:ascii="Times New Roman" w:hAnsi="Times New Roman" w:cs="Times New Roman"/>
          <w:sz w:val="24"/>
          <w:szCs w:val="24"/>
        </w:rPr>
        <w:t>Ostatnim argumentem, jednak najważniejszym, przemawiąjącym za likwidacją Centrum jest</w:t>
      </w:r>
      <w:r w:rsidR="00481DA2">
        <w:rPr>
          <w:rFonts w:ascii="Times New Roman" w:hAnsi="Times New Roman" w:cs="Times New Roman"/>
          <w:sz w:val="24"/>
          <w:szCs w:val="24"/>
        </w:rPr>
        <w:t> </w:t>
      </w:r>
      <w:r w:rsidRPr="00A704BC">
        <w:rPr>
          <w:rFonts w:ascii="Times New Roman" w:hAnsi="Times New Roman" w:cs="Times New Roman"/>
          <w:sz w:val="24"/>
          <w:szCs w:val="24"/>
        </w:rPr>
        <w:t xml:space="preserve">dalsze funkcjonowanie Szkoły Podstawowej nr 12 w Olsztynie, w której obiekcie mieści się OCEN. W chwili  tworzenia Szkoły Podstawowej nr 12 w Olsztynie, </w:t>
      </w:r>
      <w:r w:rsidR="00481DA2">
        <w:rPr>
          <w:rFonts w:ascii="Times New Roman" w:hAnsi="Times New Roman" w:cs="Times New Roman"/>
          <w:sz w:val="24"/>
          <w:szCs w:val="24"/>
        </w:rPr>
        <w:t>planowano 24 oddziały w zakresie edukacji </w:t>
      </w:r>
      <w:r w:rsidRPr="00A704BC">
        <w:rPr>
          <w:rFonts w:ascii="Times New Roman" w:hAnsi="Times New Roman" w:cs="Times New Roman"/>
          <w:sz w:val="24"/>
          <w:szCs w:val="24"/>
        </w:rPr>
        <w:t>klas 1-8. W roku szkolnym 2024/2025 w Szkole funkcjonuje już 21 oddziałów  na poziomie klas I – VI. W przyszłym roku szkolnym 2025/2026 (przy założeniu że liczba oddziałów klas I będzie na poziomie 3) szkoła będzie liczyć 24 oddziały. W roku szkolnym 2026/2027 Szkoła Podstawowa nr 12 będzie szkołą o pełnej strukturze organizacyjnej tj. I – VIII i przekroczy zakładaną liczbę 24 oddziałów. W związku z tym, że w Szkole zwiększa się liczba oddziałów, wydłużają się godziny pracy szkoły, co obrazuje poniższa tabela:</w:t>
      </w:r>
    </w:p>
    <w:p w14:paraId="068DC2F7" w14:textId="77777777" w:rsidR="0023474F" w:rsidRPr="00A704BC" w:rsidRDefault="0023474F" w:rsidP="0023474F">
      <w:pPr>
        <w:jc w:val="both"/>
        <w:rPr>
          <w:rFonts w:ascii="Times New Roman" w:hAnsi="Times New Roman" w:cs="Times New Roman"/>
          <w:sz w:val="24"/>
          <w:szCs w:val="24"/>
        </w:rPr>
      </w:pPr>
      <w:r w:rsidRPr="00A704BC">
        <w:rPr>
          <w:noProof/>
          <w:sz w:val="24"/>
          <w:szCs w:val="24"/>
          <w:lang w:eastAsia="pl-PL"/>
        </w:rPr>
        <w:drawing>
          <wp:inline distT="0" distB="0" distL="0" distR="0" wp14:anchorId="6A9AC2F4" wp14:editId="4E36024D">
            <wp:extent cx="5760720" cy="89916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9"/>
                    <a:stretch>
                      <a:fillRect/>
                    </a:stretch>
                  </pic:blipFill>
                  <pic:spPr bwMode="auto">
                    <a:xfrm>
                      <a:off x="0" y="0"/>
                      <a:ext cx="5760720" cy="899160"/>
                    </a:xfrm>
                    <a:prstGeom prst="rect">
                      <a:avLst/>
                    </a:prstGeom>
                  </pic:spPr>
                </pic:pic>
              </a:graphicData>
            </a:graphic>
          </wp:inline>
        </w:drawing>
      </w:r>
    </w:p>
    <w:p w14:paraId="077D2F69" w14:textId="77777777" w:rsidR="0023474F" w:rsidRPr="00481DA2" w:rsidRDefault="0023474F" w:rsidP="0023474F">
      <w:pPr>
        <w:shd w:val="clear" w:color="auto" w:fill="FFFFFF" w:themeFill="background1"/>
        <w:jc w:val="both"/>
        <w:rPr>
          <w:rFonts w:ascii="Times New Roman" w:hAnsi="Times New Roman" w:cs="Times New Roman"/>
          <w:sz w:val="24"/>
          <w:szCs w:val="24"/>
          <w:shd w:val="clear" w:color="auto" w:fill="FFFFFF" w:themeFill="background1"/>
        </w:rPr>
      </w:pPr>
      <w:r w:rsidRPr="00481DA2">
        <w:rPr>
          <w:rFonts w:ascii="Times New Roman" w:hAnsi="Times New Roman" w:cs="Times New Roman"/>
          <w:sz w:val="24"/>
          <w:szCs w:val="24"/>
          <w:shd w:val="clear" w:color="auto" w:fill="FFFFFF" w:themeFill="background1"/>
        </w:rPr>
        <w:t>Niezbędnym jest zatem</w:t>
      </w:r>
      <w:r w:rsidRPr="00481DA2">
        <w:rPr>
          <w:rFonts w:ascii="Times New Roman" w:hAnsi="Times New Roman" w:cs="Times New Roman"/>
          <w:sz w:val="24"/>
          <w:szCs w:val="24"/>
        </w:rPr>
        <w:t xml:space="preserve"> zwiększenie liczby pomieszczeń. </w:t>
      </w:r>
      <w:r w:rsidRPr="00481DA2">
        <w:rPr>
          <w:rFonts w:ascii="Times New Roman" w:hAnsi="Times New Roman" w:cs="Times New Roman"/>
          <w:sz w:val="24"/>
          <w:szCs w:val="24"/>
          <w:shd w:val="clear" w:color="auto" w:fill="FFFFFF" w:themeFill="background1"/>
        </w:rPr>
        <w:t>Będzie to</w:t>
      </w:r>
      <w:r w:rsidRPr="00481DA2">
        <w:rPr>
          <w:rFonts w:ascii="Times New Roman" w:hAnsi="Times New Roman" w:cs="Times New Roman"/>
          <w:sz w:val="24"/>
          <w:szCs w:val="24"/>
        </w:rPr>
        <w:t xml:space="preserve"> możliwe </w:t>
      </w:r>
      <w:r w:rsidRPr="00481DA2">
        <w:rPr>
          <w:rFonts w:ascii="Times New Roman" w:hAnsi="Times New Roman" w:cs="Times New Roman"/>
          <w:sz w:val="24"/>
          <w:szCs w:val="24"/>
          <w:shd w:val="clear" w:color="auto" w:fill="FFFFFF" w:themeFill="background1"/>
        </w:rPr>
        <w:t>dzięki przeznaczeniu</w:t>
      </w:r>
      <w:r w:rsidRPr="00481DA2">
        <w:rPr>
          <w:rFonts w:ascii="Times New Roman" w:hAnsi="Times New Roman" w:cs="Times New Roman"/>
          <w:sz w:val="24"/>
          <w:szCs w:val="24"/>
        </w:rPr>
        <w:t xml:space="preserve"> pomieszczeń zajmowanych przez OCEN na potrzeby Szkoły Podstawowej nr 12 w Olsztynie. </w:t>
      </w:r>
      <w:r w:rsidRPr="00481DA2">
        <w:rPr>
          <w:rFonts w:ascii="Times New Roman" w:hAnsi="Times New Roman" w:cs="Times New Roman"/>
          <w:sz w:val="24"/>
          <w:szCs w:val="24"/>
          <w:shd w:val="clear" w:color="auto" w:fill="FFFFFF" w:themeFill="background1"/>
        </w:rPr>
        <w:t>Dodatkowo należy mieć na względzie, iż większa liczba uczniów oznacza również większe potrzeby w zakresie organizacji pomocy psychologiczno-pedagogicznej, tym samym konieczne jest zapewnienie</w:t>
      </w:r>
      <w:r w:rsidRPr="00481DA2">
        <w:rPr>
          <w:rFonts w:ascii="Times New Roman" w:hAnsi="Times New Roman" w:cs="Times New Roman"/>
          <w:sz w:val="24"/>
          <w:szCs w:val="24"/>
          <w:shd w:val="clear" w:color="auto" w:fill="FFFF00"/>
        </w:rPr>
        <w:t xml:space="preserve"> </w:t>
      </w:r>
      <w:r w:rsidRPr="00481DA2">
        <w:rPr>
          <w:rFonts w:ascii="Times New Roman" w:hAnsi="Times New Roman" w:cs="Times New Roman"/>
          <w:sz w:val="24"/>
          <w:szCs w:val="24"/>
          <w:shd w:val="clear" w:color="auto" w:fill="FFFFFF" w:themeFill="background1"/>
        </w:rPr>
        <w:t>odpowiednich warunków do realizacji wsparcia dzieci i młodzieży poza systemem pracy klasowo -</w:t>
      </w:r>
      <w:r w:rsidRPr="00481DA2">
        <w:rPr>
          <w:rFonts w:ascii="Times New Roman" w:hAnsi="Times New Roman" w:cs="Times New Roman"/>
          <w:sz w:val="24"/>
          <w:szCs w:val="24"/>
          <w:shd w:val="clear" w:color="auto" w:fill="FFFF00"/>
        </w:rPr>
        <w:t xml:space="preserve">  </w:t>
      </w:r>
      <w:r w:rsidRPr="00481DA2">
        <w:rPr>
          <w:rFonts w:ascii="Times New Roman" w:hAnsi="Times New Roman" w:cs="Times New Roman"/>
          <w:sz w:val="24"/>
          <w:szCs w:val="24"/>
          <w:shd w:val="clear" w:color="auto" w:fill="FFFFFF" w:themeFill="background1"/>
        </w:rPr>
        <w:t>lekcyjnej.</w:t>
      </w:r>
    </w:p>
    <w:p w14:paraId="68909307" w14:textId="6A000E1C" w:rsidR="0023474F" w:rsidRPr="00A704BC" w:rsidRDefault="0023474F" w:rsidP="0023474F">
      <w:pPr>
        <w:spacing w:after="0"/>
        <w:ind w:firstLine="284"/>
        <w:jc w:val="both"/>
        <w:rPr>
          <w:rFonts w:ascii="Times New Roman" w:hAnsi="Times New Roman" w:cs="Times New Roman"/>
          <w:sz w:val="24"/>
          <w:szCs w:val="24"/>
        </w:rPr>
      </w:pPr>
      <w:r w:rsidRPr="00A704BC">
        <w:rPr>
          <w:rFonts w:ascii="Times New Roman" w:hAnsi="Times New Roman" w:cs="Times New Roman"/>
          <w:sz w:val="24"/>
          <w:szCs w:val="24"/>
        </w:rPr>
        <w:t>W przypadku likwidacji placówki doskonalenia nauczycieli, zgodnie z art. 20 ust. 2 ustawy z dnia 26 stycznia 1982 r. – Karta Nauczyciela (Dz. U. z 2024r., poz. 986) nauczycielom</w:t>
      </w:r>
      <w:r w:rsidRPr="00A704BC">
        <w:rPr>
          <w:rFonts w:ascii="Times New Roman" w:hAnsi="Times New Roman"/>
          <w:sz w:val="24"/>
          <w:szCs w:val="24"/>
        </w:rPr>
        <w:t xml:space="preserve"> </w:t>
      </w:r>
      <w:r w:rsidRPr="00A704BC">
        <w:rPr>
          <w:rFonts w:ascii="Times New Roman" w:hAnsi="Times New Roman" w:cs="Times New Roman"/>
          <w:sz w:val="24"/>
          <w:szCs w:val="24"/>
        </w:rPr>
        <w:t>zatrudnionym na podstawie mianowania, z którymi rozwiązano stosunek pracy w związku z</w:t>
      </w:r>
      <w:r w:rsidR="00481DA2">
        <w:rPr>
          <w:rFonts w:ascii="Times New Roman" w:hAnsi="Times New Roman" w:cs="Times New Roman"/>
          <w:sz w:val="24"/>
          <w:szCs w:val="24"/>
        </w:rPr>
        <w:t> </w:t>
      </w:r>
      <w:r w:rsidRPr="00A704BC">
        <w:rPr>
          <w:rFonts w:ascii="Times New Roman" w:hAnsi="Times New Roman" w:cs="Times New Roman"/>
          <w:sz w:val="24"/>
          <w:szCs w:val="24"/>
        </w:rPr>
        <w:t>likwidacją placówki przysługuje odprawa w wysokości 6-cio miesięcznego wynagrodzenia zasadniczego. Natomiast nauczycielom zatrudnionym na podstawie umo</w:t>
      </w:r>
      <w:r w:rsidR="00481DA2">
        <w:rPr>
          <w:rFonts w:ascii="Times New Roman" w:hAnsi="Times New Roman" w:cs="Times New Roman"/>
          <w:sz w:val="24"/>
          <w:szCs w:val="24"/>
        </w:rPr>
        <w:t>wy o pracę z którymi rozwiązano stosunek </w:t>
      </w:r>
      <w:r w:rsidRPr="00A704BC">
        <w:rPr>
          <w:rFonts w:ascii="Times New Roman" w:hAnsi="Times New Roman" w:cs="Times New Roman"/>
          <w:sz w:val="24"/>
          <w:szCs w:val="24"/>
        </w:rPr>
        <w:t>pracy w związku z likwidacją przysługują świadczenia określone w</w:t>
      </w:r>
      <w:r w:rsidR="00481DA2">
        <w:rPr>
          <w:rFonts w:ascii="Times New Roman" w:hAnsi="Times New Roman" w:cs="Times New Roman"/>
          <w:sz w:val="24"/>
          <w:szCs w:val="24"/>
        </w:rPr>
        <w:t> </w:t>
      </w:r>
      <w:r w:rsidRPr="00A704BC">
        <w:rPr>
          <w:rFonts w:ascii="Times New Roman" w:hAnsi="Times New Roman" w:cs="Times New Roman"/>
          <w:sz w:val="24"/>
          <w:szCs w:val="24"/>
        </w:rPr>
        <w:t>przepisach o szczególnych zasadach rozwiazywania z pracownikami stosunków pracy z</w:t>
      </w:r>
      <w:r w:rsidR="00481DA2">
        <w:rPr>
          <w:rFonts w:ascii="Times New Roman" w:hAnsi="Times New Roman" w:cs="Times New Roman"/>
          <w:sz w:val="24"/>
          <w:szCs w:val="24"/>
        </w:rPr>
        <w:t> przyczyn niedotyczących pracowników. </w:t>
      </w:r>
      <w:r w:rsidRPr="00A704BC">
        <w:rPr>
          <w:rFonts w:ascii="Times New Roman" w:hAnsi="Times New Roman" w:cs="Times New Roman"/>
          <w:sz w:val="24"/>
          <w:szCs w:val="24"/>
        </w:rPr>
        <w:t xml:space="preserve">Zgodnie z art. 8 ust. 1 ustawy z dnia 13 marca 2003 r. o szczególnych zasadach rozwiązywania z pracownikami stosunków </w:t>
      </w:r>
      <w:r w:rsidR="00481DA2">
        <w:rPr>
          <w:rFonts w:ascii="Times New Roman" w:hAnsi="Times New Roman" w:cs="Times New Roman"/>
          <w:sz w:val="24"/>
          <w:szCs w:val="24"/>
        </w:rPr>
        <w:t>pracy z przyczyn niedotyczących pracowników (Dz. U. z 2024 r., poz. 61) </w:t>
      </w:r>
      <w:r w:rsidRPr="00A704BC">
        <w:rPr>
          <w:rFonts w:ascii="Times New Roman" w:hAnsi="Times New Roman" w:cs="Times New Roman"/>
          <w:sz w:val="24"/>
          <w:szCs w:val="24"/>
        </w:rPr>
        <w:t>pracownikowi,</w:t>
      </w:r>
      <w:r w:rsidR="00481DA2">
        <w:rPr>
          <w:rFonts w:ascii="Times New Roman" w:hAnsi="Times New Roman" w:cs="Times New Roman"/>
          <w:sz w:val="24"/>
          <w:szCs w:val="24"/>
        </w:rPr>
        <w:t> w </w:t>
      </w:r>
      <w:r w:rsidRPr="00A704BC">
        <w:rPr>
          <w:rFonts w:ascii="Times New Roman" w:hAnsi="Times New Roman" w:cs="Times New Roman"/>
          <w:sz w:val="24"/>
          <w:szCs w:val="24"/>
        </w:rPr>
        <w:t>związku</w:t>
      </w:r>
      <w:r w:rsidR="00481DA2">
        <w:rPr>
          <w:rFonts w:ascii="Times New Roman" w:hAnsi="Times New Roman" w:cs="Times New Roman"/>
          <w:sz w:val="24"/>
          <w:szCs w:val="24"/>
        </w:rPr>
        <w:t> </w:t>
      </w:r>
      <w:r w:rsidRPr="00A704BC">
        <w:rPr>
          <w:rFonts w:ascii="Times New Roman" w:hAnsi="Times New Roman" w:cs="Times New Roman"/>
          <w:sz w:val="24"/>
          <w:szCs w:val="24"/>
        </w:rPr>
        <w:t>z</w:t>
      </w:r>
      <w:r w:rsidR="00481DA2">
        <w:rPr>
          <w:rFonts w:ascii="Times New Roman" w:hAnsi="Times New Roman" w:cs="Times New Roman"/>
          <w:sz w:val="24"/>
          <w:szCs w:val="24"/>
        </w:rPr>
        <w:t> rozwią-zan</w:t>
      </w:r>
      <w:r w:rsidR="00481DA2" w:rsidRPr="00A704BC">
        <w:rPr>
          <w:rFonts w:ascii="Times New Roman" w:hAnsi="Times New Roman" w:cs="Times New Roman"/>
          <w:sz w:val="24"/>
          <w:szCs w:val="24"/>
        </w:rPr>
        <w:t>iem</w:t>
      </w:r>
      <w:r w:rsidRPr="00A704BC">
        <w:rPr>
          <w:rFonts w:ascii="Times New Roman" w:hAnsi="Times New Roman" w:cs="Times New Roman"/>
          <w:sz w:val="24"/>
          <w:szCs w:val="24"/>
        </w:rPr>
        <w:t xml:space="preserve"> stosunku pracy w ramach grupowego zwolnienia przysługuje odprawa pieniężna w</w:t>
      </w:r>
      <w:r w:rsidR="00481DA2">
        <w:rPr>
          <w:rFonts w:ascii="Times New Roman" w:hAnsi="Times New Roman" w:cs="Times New Roman"/>
          <w:sz w:val="24"/>
          <w:szCs w:val="24"/>
        </w:rPr>
        <w:t> </w:t>
      </w:r>
      <w:r w:rsidRPr="00A704BC">
        <w:rPr>
          <w:rFonts w:ascii="Times New Roman" w:hAnsi="Times New Roman" w:cs="Times New Roman"/>
          <w:sz w:val="24"/>
          <w:szCs w:val="24"/>
        </w:rPr>
        <w:t>wysokości:</w:t>
      </w:r>
    </w:p>
    <w:p w14:paraId="0D65631D" w14:textId="77777777" w:rsidR="0023474F" w:rsidRPr="00A704BC" w:rsidRDefault="0023474F" w:rsidP="0023474F">
      <w:pPr>
        <w:numPr>
          <w:ilvl w:val="0"/>
          <w:numId w:val="1"/>
        </w:numPr>
        <w:suppressAutoHyphens w:val="0"/>
        <w:spacing w:after="0"/>
        <w:jc w:val="both"/>
        <w:rPr>
          <w:rFonts w:ascii="Times New Roman" w:hAnsi="Times New Roman" w:cs="Times New Roman"/>
          <w:sz w:val="24"/>
          <w:szCs w:val="24"/>
        </w:rPr>
      </w:pPr>
      <w:r w:rsidRPr="00A704BC">
        <w:rPr>
          <w:rFonts w:ascii="Times New Roman" w:hAnsi="Times New Roman" w:cs="Times New Roman"/>
          <w:sz w:val="24"/>
          <w:szCs w:val="24"/>
        </w:rPr>
        <w:t>jednomiesięcznego wynagrodzenia, jeżeli pracownik był zatrudniony u danego pracodawcy krócej niż 2 lata;</w:t>
      </w:r>
    </w:p>
    <w:p w14:paraId="059814C6" w14:textId="6F38E632" w:rsidR="0023474F" w:rsidRPr="00A704BC" w:rsidRDefault="0023474F" w:rsidP="0023474F">
      <w:pPr>
        <w:numPr>
          <w:ilvl w:val="0"/>
          <w:numId w:val="1"/>
        </w:numPr>
        <w:suppressAutoHyphens w:val="0"/>
        <w:spacing w:after="0"/>
        <w:jc w:val="both"/>
        <w:rPr>
          <w:rFonts w:ascii="Times New Roman" w:hAnsi="Times New Roman" w:cs="Times New Roman"/>
          <w:sz w:val="24"/>
          <w:szCs w:val="24"/>
        </w:rPr>
      </w:pPr>
      <w:r w:rsidRPr="00A704BC">
        <w:rPr>
          <w:rFonts w:ascii="Times New Roman" w:hAnsi="Times New Roman" w:cs="Times New Roman"/>
          <w:sz w:val="24"/>
          <w:szCs w:val="24"/>
        </w:rPr>
        <w:t>dwumiesięcznego wynagrodzenia, j</w:t>
      </w:r>
      <w:r w:rsidR="00481DA2">
        <w:rPr>
          <w:rFonts w:ascii="Times New Roman" w:hAnsi="Times New Roman" w:cs="Times New Roman"/>
          <w:sz w:val="24"/>
          <w:szCs w:val="24"/>
        </w:rPr>
        <w:t>eżeli pracownik był zatrudniony u </w:t>
      </w:r>
      <w:r w:rsidRPr="00A704BC">
        <w:rPr>
          <w:rFonts w:ascii="Times New Roman" w:hAnsi="Times New Roman" w:cs="Times New Roman"/>
          <w:sz w:val="24"/>
          <w:szCs w:val="24"/>
        </w:rPr>
        <w:t>danego pracodawcy od 2 do 8 lat;</w:t>
      </w:r>
    </w:p>
    <w:p w14:paraId="36619D1D" w14:textId="0E41B8C6" w:rsidR="0023474F" w:rsidRPr="00A704BC" w:rsidRDefault="0023474F" w:rsidP="0023474F">
      <w:pPr>
        <w:numPr>
          <w:ilvl w:val="0"/>
          <w:numId w:val="1"/>
        </w:numPr>
        <w:suppressAutoHyphens w:val="0"/>
        <w:spacing w:after="0"/>
        <w:jc w:val="both"/>
        <w:rPr>
          <w:rFonts w:ascii="Times New Roman" w:hAnsi="Times New Roman" w:cs="Times New Roman"/>
          <w:sz w:val="24"/>
          <w:szCs w:val="24"/>
        </w:rPr>
      </w:pPr>
      <w:r w:rsidRPr="00A704BC">
        <w:rPr>
          <w:rFonts w:ascii="Times New Roman" w:hAnsi="Times New Roman" w:cs="Times New Roman"/>
          <w:sz w:val="24"/>
          <w:szCs w:val="24"/>
        </w:rPr>
        <w:lastRenderedPageBreak/>
        <w:t>trzymiesięcznego wynagrodzenia, jeżeli pracownik był zatrudniony u danego pracodawcy ponad 8 lat.</w:t>
      </w:r>
    </w:p>
    <w:p w14:paraId="59D52951" w14:textId="51749438" w:rsidR="0023474F" w:rsidRPr="00A704BC" w:rsidRDefault="0023474F" w:rsidP="0023474F">
      <w:pPr>
        <w:spacing w:after="0"/>
        <w:ind w:firstLine="284"/>
        <w:jc w:val="both"/>
        <w:rPr>
          <w:rFonts w:ascii="Times New Roman" w:hAnsi="Times New Roman" w:cs="Times New Roman"/>
          <w:sz w:val="24"/>
          <w:szCs w:val="24"/>
        </w:rPr>
      </w:pPr>
      <w:r w:rsidRPr="00A704BC">
        <w:rPr>
          <w:rFonts w:ascii="Times New Roman" w:hAnsi="Times New Roman" w:cs="Times New Roman"/>
          <w:sz w:val="24"/>
          <w:szCs w:val="24"/>
        </w:rPr>
        <w:t xml:space="preserve">Zgodnie z danymi zawartymi w aneksie do arkusza organizacji Olsztyńskiego Centrum Edukacji Nauczycieli na rok szkolny 2024/2025 w Centrum zatrudnionych jest 10 pracowników (5 nauczycieli-konsultantów i 5 pracowników nie będących nauczycielami). </w:t>
      </w:r>
      <w:r w:rsidR="00481DA2">
        <w:rPr>
          <w:rFonts w:ascii="Times New Roman" w:hAnsi="Times New Roman" w:cs="Times New Roman"/>
          <w:sz w:val="24"/>
          <w:szCs w:val="24"/>
        </w:rPr>
        <w:t>Nauczycielom-konsultantom w </w:t>
      </w:r>
      <w:r w:rsidRPr="00A704BC">
        <w:rPr>
          <w:rFonts w:ascii="Times New Roman" w:hAnsi="Times New Roman" w:cs="Times New Roman"/>
          <w:sz w:val="24"/>
          <w:szCs w:val="24"/>
        </w:rPr>
        <w:t>związku z likwidacją placówki będzie przysługiwała odprawa, natomiast</w:t>
      </w:r>
      <w:r w:rsidR="00481DA2">
        <w:rPr>
          <w:rFonts w:ascii="Times New Roman" w:hAnsi="Times New Roman" w:cs="Times New Roman"/>
          <w:sz w:val="24"/>
          <w:szCs w:val="24"/>
        </w:rPr>
        <w:t> pracownikom nie </w:t>
      </w:r>
      <w:r w:rsidRPr="00A704BC">
        <w:rPr>
          <w:rFonts w:ascii="Times New Roman" w:hAnsi="Times New Roman" w:cs="Times New Roman"/>
          <w:sz w:val="24"/>
          <w:szCs w:val="24"/>
        </w:rPr>
        <w:t>będącym nauczycielami odprawy nie będą przysługiwały ze</w:t>
      </w:r>
      <w:r w:rsidR="00481DA2">
        <w:rPr>
          <w:rFonts w:ascii="Times New Roman" w:hAnsi="Times New Roman" w:cs="Times New Roman"/>
          <w:sz w:val="24"/>
          <w:szCs w:val="24"/>
        </w:rPr>
        <w:t> </w:t>
      </w:r>
      <w:r w:rsidRPr="00A704BC">
        <w:rPr>
          <w:rFonts w:ascii="Times New Roman" w:hAnsi="Times New Roman" w:cs="Times New Roman"/>
          <w:sz w:val="24"/>
          <w:szCs w:val="24"/>
        </w:rPr>
        <w:t>względu na uregulowania prawne. Zgodnie z art. 1 ust. 1  ustawy z dnia 13 marca 2003 r. o</w:t>
      </w:r>
      <w:r w:rsidR="00481DA2">
        <w:rPr>
          <w:rFonts w:ascii="Times New Roman" w:hAnsi="Times New Roman" w:cs="Times New Roman"/>
          <w:sz w:val="24"/>
          <w:szCs w:val="24"/>
        </w:rPr>
        <w:t> </w:t>
      </w:r>
      <w:r w:rsidRPr="00A704BC">
        <w:rPr>
          <w:rFonts w:ascii="Times New Roman" w:hAnsi="Times New Roman" w:cs="Times New Roman"/>
          <w:sz w:val="24"/>
          <w:szCs w:val="24"/>
        </w:rPr>
        <w:t>szczególnych zasadach rozwiazywania z pracownikami stosunków pracy (…) przepisy ustawy stosuje si</w:t>
      </w:r>
      <w:r w:rsidRPr="00A704BC">
        <w:rPr>
          <w:rFonts w:ascii="Times New Roman" w:hAnsi="Times New Roman" w:cs="Times New Roman" w:hint="eastAsia"/>
          <w:sz w:val="24"/>
          <w:szCs w:val="24"/>
        </w:rPr>
        <w:t>ę</w:t>
      </w:r>
      <w:r w:rsidRPr="00A704BC">
        <w:rPr>
          <w:rFonts w:ascii="Times New Roman" w:hAnsi="Times New Roman" w:cs="Times New Roman"/>
          <w:sz w:val="24"/>
          <w:szCs w:val="24"/>
        </w:rPr>
        <w:t xml:space="preserve"> w razie konieczno</w:t>
      </w:r>
      <w:r w:rsidRPr="00A704BC">
        <w:rPr>
          <w:rFonts w:ascii="Times New Roman" w:hAnsi="Times New Roman" w:cs="Times New Roman" w:hint="eastAsia"/>
          <w:sz w:val="24"/>
          <w:szCs w:val="24"/>
        </w:rPr>
        <w:t>ś</w:t>
      </w:r>
      <w:r w:rsidRPr="00A704BC">
        <w:rPr>
          <w:rFonts w:ascii="Times New Roman" w:hAnsi="Times New Roman" w:cs="Times New Roman"/>
          <w:sz w:val="24"/>
          <w:szCs w:val="24"/>
        </w:rPr>
        <w:t>ci rozwi</w:t>
      </w:r>
      <w:r w:rsidRPr="00A704BC">
        <w:rPr>
          <w:rFonts w:ascii="Times New Roman" w:hAnsi="Times New Roman" w:cs="Times New Roman" w:hint="eastAsia"/>
          <w:sz w:val="24"/>
          <w:szCs w:val="24"/>
        </w:rPr>
        <w:t>ą</w:t>
      </w:r>
      <w:r w:rsidRPr="00A704BC">
        <w:rPr>
          <w:rFonts w:ascii="Times New Roman" w:hAnsi="Times New Roman" w:cs="Times New Roman"/>
          <w:sz w:val="24"/>
          <w:szCs w:val="24"/>
        </w:rPr>
        <w:t>zania przez pracodawc</w:t>
      </w:r>
      <w:r w:rsidRPr="00A704BC">
        <w:rPr>
          <w:rFonts w:ascii="Times New Roman" w:hAnsi="Times New Roman" w:cs="Times New Roman" w:hint="eastAsia"/>
          <w:sz w:val="24"/>
          <w:szCs w:val="24"/>
        </w:rPr>
        <w:t>ę</w:t>
      </w:r>
      <w:r w:rsidRPr="00A704BC">
        <w:rPr>
          <w:rFonts w:ascii="Times New Roman" w:hAnsi="Times New Roman" w:cs="Times New Roman"/>
          <w:sz w:val="24"/>
          <w:szCs w:val="24"/>
        </w:rPr>
        <w:t xml:space="preserve"> zatrudniaj</w:t>
      </w:r>
      <w:r w:rsidRPr="00A704BC">
        <w:rPr>
          <w:rFonts w:ascii="Times New Roman" w:hAnsi="Times New Roman" w:cs="Times New Roman" w:hint="eastAsia"/>
          <w:sz w:val="24"/>
          <w:szCs w:val="24"/>
        </w:rPr>
        <w:t>ą</w:t>
      </w:r>
      <w:r w:rsidRPr="00A704BC">
        <w:rPr>
          <w:rFonts w:ascii="Times New Roman" w:hAnsi="Times New Roman" w:cs="Times New Roman"/>
          <w:sz w:val="24"/>
          <w:szCs w:val="24"/>
        </w:rPr>
        <w:t>cego co</w:t>
      </w:r>
      <w:r w:rsidR="00481DA2">
        <w:rPr>
          <w:rFonts w:ascii="Times New Roman" w:hAnsi="Times New Roman" w:cs="Times New Roman"/>
          <w:sz w:val="24"/>
          <w:szCs w:val="24"/>
        </w:rPr>
        <w:t> </w:t>
      </w:r>
      <w:r w:rsidRPr="00A704BC">
        <w:rPr>
          <w:rFonts w:ascii="Times New Roman" w:hAnsi="Times New Roman" w:cs="Times New Roman"/>
          <w:sz w:val="24"/>
          <w:szCs w:val="24"/>
        </w:rPr>
        <w:t>najmniej 20 pracownik</w:t>
      </w:r>
      <w:r w:rsidRPr="00A704BC">
        <w:rPr>
          <w:rFonts w:ascii="Times New Roman" w:hAnsi="Times New Roman" w:cs="Times New Roman" w:hint="eastAsia"/>
          <w:sz w:val="24"/>
          <w:szCs w:val="24"/>
        </w:rPr>
        <w:t>ó</w:t>
      </w:r>
      <w:r w:rsidRPr="00A704BC">
        <w:rPr>
          <w:rFonts w:ascii="Times New Roman" w:hAnsi="Times New Roman" w:cs="Times New Roman"/>
          <w:sz w:val="24"/>
          <w:szCs w:val="24"/>
        </w:rPr>
        <w:t>w stosunk</w:t>
      </w:r>
      <w:r w:rsidRPr="00A704BC">
        <w:rPr>
          <w:rFonts w:ascii="Times New Roman" w:hAnsi="Times New Roman" w:cs="Times New Roman" w:hint="eastAsia"/>
          <w:sz w:val="24"/>
          <w:szCs w:val="24"/>
        </w:rPr>
        <w:t>ó</w:t>
      </w:r>
      <w:r w:rsidRPr="00A704BC">
        <w:rPr>
          <w:rFonts w:ascii="Times New Roman" w:hAnsi="Times New Roman" w:cs="Times New Roman"/>
          <w:sz w:val="24"/>
          <w:szCs w:val="24"/>
        </w:rPr>
        <w:t>w pracy z przyczyn niedotycz</w:t>
      </w:r>
      <w:r w:rsidRPr="00A704BC">
        <w:rPr>
          <w:rFonts w:ascii="Times New Roman" w:hAnsi="Times New Roman" w:cs="Times New Roman" w:hint="eastAsia"/>
          <w:sz w:val="24"/>
          <w:szCs w:val="24"/>
        </w:rPr>
        <w:t>ą</w:t>
      </w:r>
      <w:r w:rsidRPr="00A704BC">
        <w:rPr>
          <w:rFonts w:ascii="Times New Roman" w:hAnsi="Times New Roman" w:cs="Times New Roman"/>
          <w:sz w:val="24"/>
          <w:szCs w:val="24"/>
        </w:rPr>
        <w:t>cych pracownik</w:t>
      </w:r>
      <w:r w:rsidRPr="00A704BC">
        <w:rPr>
          <w:rFonts w:ascii="Times New Roman" w:hAnsi="Times New Roman" w:cs="Times New Roman" w:hint="eastAsia"/>
          <w:sz w:val="24"/>
          <w:szCs w:val="24"/>
        </w:rPr>
        <w:t>ó</w:t>
      </w:r>
      <w:r w:rsidRPr="00A704BC">
        <w:rPr>
          <w:rFonts w:ascii="Times New Roman" w:hAnsi="Times New Roman" w:cs="Times New Roman"/>
          <w:sz w:val="24"/>
          <w:szCs w:val="24"/>
        </w:rPr>
        <w:t>w, w</w:t>
      </w:r>
      <w:r w:rsidR="00481DA2">
        <w:rPr>
          <w:rFonts w:ascii="Times New Roman" w:hAnsi="Times New Roman" w:cs="Times New Roman"/>
          <w:sz w:val="24"/>
          <w:szCs w:val="24"/>
        </w:rPr>
        <w:t> </w:t>
      </w:r>
      <w:r w:rsidRPr="00A704BC">
        <w:rPr>
          <w:rFonts w:ascii="Times New Roman" w:hAnsi="Times New Roman" w:cs="Times New Roman"/>
          <w:sz w:val="24"/>
          <w:szCs w:val="24"/>
        </w:rPr>
        <w:t>drodze wypowiedzenia dokonanego przez pracodawc</w:t>
      </w:r>
      <w:r w:rsidRPr="00A704BC">
        <w:rPr>
          <w:rFonts w:ascii="Times New Roman" w:hAnsi="Times New Roman" w:cs="Times New Roman" w:hint="eastAsia"/>
          <w:sz w:val="24"/>
          <w:szCs w:val="24"/>
        </w:rPr>
        <w:t>ę</w:t>
      </w:r>
      <w:r w:rsidRPr="00A704BC">
        <w:rPr>
          <w:rFonts w:ascii="Times New Roman" w:hAnsi="Times New Roman" w:cs="Times New Roman"/>
          <w:sz w:val="24"/>
          <w:szCs w:val="24"/>
        </w:rPr>
        <w:t xml:space="preserve">. </w:t>
      </w:r>
    </w:p>
    <w:p w14:paraId="619EE2B6" w14:textId="77777777" w:rsidR="0023474F" w:rsidRPr="00A704BC" w:rsidRDefault="0023474F" w:rsidP="0023474F">
      <w:pPr>
        <w:spacing w:after="0"/>
        <w:ind w:firstLine="284"/>
        <w:jc w:val="both"/>
        <w:rPr>
          <w:rFonts w:ascii="Times New Roman" w:hAnsi="Times New Roman" w:cs="Times New Roman"/>
          <w:sz w:val="24"/>
          <w:szCs w:val="24"/>
        </w:rPr>
      </w:pPr>
      <w:r w:rsidRPr="00A704BC">
        <w:rPr>
          <w:rFonts w:ascii="Times New Roman" w:hAnsi="Times New Roman" w:cs="Times New Roman"/>
          <w:sz w:val="24"/>
          <w:szCs w:val="24"/>
        </w:rPr>
        <w:t xml:space="preserve">W przypadku zwiększenia zatrudnienia w Wydziale Edukacji osoby dotychczas zatrudnione </w:t>
      </w:r>
      <w:r w:rsidRPr="00A704BC">
        <w:rPr>
          <w:rFonts w:ascii="Times New Roman" w:hAnsi="Times New Roman" w:cs="Times New Roman"/>
          <w:sz w:val="24"/>
          <w:szCs w:val="24"/>
        </w:rPr>
        <w:br/>
        <w:t xml:space="preserve">w OCEN będą mogły przystąpić do naboru lub podjąć zatrudnienie w szkole jako nauczyciele. Co roku miesiąc kwiecień jest miesiącem składania przez dyrektorów jednostek oświatowych arkuszy organizacji na kolejny rok szkolny, w których wykazane są min. vacaty na konkretne stanowiska. Wydział Edukacji Urzędu Miasta analizuje arkusze pod kątem wykazanych vacatów oraz zapotrzebowania na nauczycieli, specjalistów i pracowników w innych jednostkach prowadzonych przez Miasto Olsztyn. Taka sytuacja będzie miała miejsce również w przypadku pracowników Centrum. </w:t>
      </w:r>
    </w:p>
    <w:p w14:paraId="276C5B9A" w14:textId="77777777" w:rsidR="0023474F" w:rsidRPr="00A704BC" w:rsidRDefault="0023474F" w:rsidP="0023474F">
      <w:pPr>
        <w:jc w:val="both"/>
        <w:rPr>
          <w:rFonts w:ascii="Times New Roman" w:hAnsi="Times New Roman" w:cs="Times New Roman"/>
          <w:sz w:val="24"/>
          <w:szCs w:val="24"/>
        </w:rPr>
      </w:pPr>
      <w:r w:rsidRPr="00A704BC">
        <w:rPr>
          <w:rFonts w:ascii="Times New Roman" w:hAnsi="Times New Roman" w:cs="Times New Roman"/>
          <w:sz w:val="24"/>
          <w:szCs w:val="24"/>
        </w:rPr>
        <w:t>Mienie ruchome Centrum zostanie przekazane Szkole Podstawowej nr 12 w Olsztynie, będącej głównym administratorem budynku, w którym znajduje się również siedziba Olsztyńskiego Centrum Edukacji Nauczycieli.</w:t>
      </w:r>
    </w:p>
    <w:p w14:paraId="0302E39D" w14:textId="2815636D" w:rsidR="0023474F" w:rsidRPr="00A704BC" w:rsidRDefault="0023474F" w:rsidP="0023474F">
      <w:pPr>
        <w:jc w:val="both"/>
        <w:rPr>
          <w:rFonts w:ascii="Times New Roman" w:hAnsi="Times New Roman" w:cs="Times New Roman"/>
          <w:sz w:val="24"/>
          <w:szCs w:val="24"/>
        </w:rPr>
      </w:pPr>
      <w:r w:rsidRPr="00A704BC">
        <w:rPr>
          <w:rFonts w:ascii="Times New Roman" w:hAnsi="Times New Roman" w:cs="Times New Roman"/>
          <w:sz w:val="24"/>
          <w:szCs w:val="24"/>
        </w:rPr>
        <w:t>Działalność Olsztyńskiego Centrum Edukacji Nauczycieli zostanie zakończona z dniem 3</w:t>
      </w:r>
      <w:r w:rsidR="00F54F6A" w:rsidRPr="00A704BC">
        <w:rPr>
          <w:rFonts w:ascii="Times New Roman" w:hAnsi="Times New Roman" w:cs="Times New Roman"/>
          <w:sz w:val="24"/>
          <w:szCs w:val="24"/>
        </w:rPr>
        <w:t>0</w:t>
      </w:r>
      <w:r w:rsidRPr="00A704BC">
        <w:rPr>
          <w:rFonts w:ascii="Times New Roman" w:hAnsi="Times New Roman" w:cs="Times New Roman"/>
          <w:sz w:val="24"/>
          <w:szCs w:val="24"/>
        </w:rPr>
        <w:t xml:space="preserve"> </w:t>
      </w:r>
      <w:r w:rsidR="00F54F6A" w:rsidRPr="00A704BC">
        <w:rPr>
          <w:rFonts w:ascii="Times New Roman" w:hAnsi="Times New Roman" w:cs="Times New Roman"/>
          <w:sz w:val="24"/>
          <w:szCs w:val="24"/>
        </w:rPr>
        <w:t>czerwca</w:t>
      </w:r>
      <w:r w:rsidRPr="00A704BC">
        <w:rPr>
          <w:rFonts w:ascii="Times New Roman" w:hAnsi="Times New Roman" w:cs="Times New Roman"/>
          <w:sz w:val="24"/>
          <w:szCs w:val="24"/>
        </w:rPr>
        <w:t xml:space="preserve"> 2025r.</w:t>
      </w:r>
    </w:p>
    <w:p w14:paraId="20E2A826" w14:textId="77777777" w:rsidR="0023474F" w:rsidRPr="00A704BC" w:rsidRDefault="0023474F" w:rsidP="0023474F">
      <w:pPr>
        <w:ind w:firstLine="284"/>
        <w:jc w:val="both"/>
        <w:rPr>
          <w:rFonts w:ascii="Times New Roman" w:hAnsi="Times New Roman" w:cs="Times New Roman"/>
          <w:sz w:val="24"/>
          <w:szCs w:val="24"/>
        </w:rPr>
      </w:pPr>
    </w:p>
    <w:p w14:paraId="3259706E" w14:textId="77777777" w:rsidR="0023474F" w:rsidRPr="00A704BC" w:rsidRDefault="0023474F" w:rsidP="0023474F">
      <w:pPr>
        <w:ind w:firstLine="284"/>
        <w:jc w:val="both"/>
        <w:rPr>
          <w:rFonts w:ascii="Times New Roman" w:hAnsi="Times New Roman" w:cs="Times New Roman"/>
          <w:sz w:val="24"/>
          <w:szCs w:val="24"/>
        </w:rPr>
      </w:pPr>
    </w:p>
    <w:p w14:paraId="2C3B0667" w14:textId="77777777" w:rsidR="0023474F" w:rsidRPr="00A704BC" w:rsidRDefault="0023474F" w:rsidP="0023474F">
      <w:pPr>
        <w:jc w:val="both"/>
        <w:rPr>
          <w:rFonts w:ascii="Times New Roman" w:hAnsi="Times New Roman" w:cs="Times New Roman"/>
          <w:sz w:val="24"/>
          <w:szCs w:val="24"/>
        </w:rPr>
      </w:pPr>
    </w:p>
    <w:p w14:paraId="6F715A1B" w14:textId="77777777" w:rsidR="0023474F" w:rsidRPr="00A704BC" w:rsidRDefault="0023474F" w:rsidP="0023474F">
      <w:pPr>
        <w:jc w:val="both"/>
        <w:rPr>
          <w:rFonts w:ascii="Times New Roman" w:hAnsi="Times New Roman" w:cs="Times New Roman"/>
          <w:sz w:val="24"/>
          <w:szCs w:val="24"/>
        </w:rPr>
      </w:pPr>
    </w:p>
    <w:p w14:paraId="1B51D0E0" w14:textId="77777777" w:rsidR="0021356E" w:rsidRPr="00A704BC" w:rsidRDefault="0021356E">
      <w:pPr>
        <w:rPr>
          <w:sz w:val="24"/>
          <w:szCs w:val="24"/>
        </w:rPr>
      </w:pPr>
    </w:p>
    <w:sectPr w:rsidR="0021356E" w:rsidRPr="00A704BC" w:rsidSect="0023474F">
      <w:footerReference w:type="default" r:id="rId10"/>
      <w:pgSz w:w="11906" w:h="16838"/>
      <w:pgMar w:top="1417" w:right="1417" w:bottom="1417" w:left="1417" w:header="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A136A5" w14:textId="77777777" w:rsidR="00D25C31" w:rsidRDefault="00D25C31">
      <w:pPr>
        <w:spacing w:after="0" w:line="240" w:lineRule="auto"/>
      </w:pPr>
      <w:r>
        <w:separator/>
      </w:r>
    </w:p>
  </w:endnote>
  <w:endnote w:type="continuationSeparator" w:id="0">
    <w:p w14:paraId="64D09F7E" w14:textId="77777777" w:rsidR="00D25C31" w:rsidRDefault="00D25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9797494"/>
      <w:docPartObj>
        <w:docPartGallery w:val="Page Numbers (Bottom of Page)"/>
        <w:docPartUnique/>
      </w:docPartObj>
    </w:sdtPr>
    <w:sdtEndPr/>
    <w:sdtContent>
      <w:p w14:paraId="090320E3" w14:textId="06C46AB9" w:rsidR="007C083E" w:rsidRDefault="0000081A">
        <w:pPr>
          <w:pStyle w:val="Stopka"/>
          <w:jc w:val="right"/>
        </w:pPr>
        <w:r>
          <w:fldChar w:fldCharType="begin"/>
        </w:r>
        <w:r>
          <w:instrText>PAGE   \* MERGEFORMAT</w:instrText>
        </w:r>
        <w:r>
          <w:fldChar w:fldCharType="separate"/>
        </w:r>
        <w:r w:rsidR="00BA41D0">
          <w:rPr>
            <w:noProof/>
          </w:rPr>
          <w:t>2</w:t>
        </w:r>
        <w:r>
          <w:fldChar w:fldCharType="end"/>
        </w:r>
      </w:p>
    </w:sdtContent>
  </w:sdt>
  <w:p w14:paraId="581160EE" w14:textId="77777777" w:rsidR="007C083E" w:rsidRDefault="007C083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278E46" w14:textId="77777777" w:rsidR="00D25C31" w:rsidRDefault="00D25C31">
      <w:pPr>
        <w:spacing w:after="0" w:line="240" w:lineRule="auto"/>
      </w:pPr>
      <w:r>
        <w:separator/>
      </w:r>
    </w:p>
  </w:footnote>
  <w:footnote w:type="continuationSeparator" w:id="0">
    <w:p w14:paraId="558828FB" w14:textId="77777777" w:rsidR="00D25C31" w:rsidRDefault="00D25C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0560C8"/>
    <w:multiLevelType w:val="hybridMultilevel"/>
    <w:tmpl w:val="24B0B6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74F"/>
    <w:rsid w:val="0000081A"/>
    <w:rsid w:val="000074C9"/>
    <w:rsid w:val="000115D8"/>
    <w:rsid w:val="000A1828"/>
    <w:rsid w:val="0021356E"/>
    <w:rsid w:val="0023474F"/>
    <w:rsid w:val="002806D2"/>
    <w:rsid w:val="00481DA2"/>
    <w:rsid w:val="006C0333"/>
    <w:rsid w:val="007C083E"/>
    <w:rsid w:val="00A704BC"/>
    <w:rsid w:val="00A866A5"/>
    <w:rsid w:val="00BA41D0"/>
    <w:rsid w:val="00D02E9D"/>
    <w:rsid w:val="00D25C31"/>
    <w:rsid w:val="00DA2786"/>
    <w:rsid w:val="00F54F6A"/>
    <w:rsid w:val="00F62780"/>
    <w:rsid w:val="00FA38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74209"/>
  <w15:chartTrackingRefBased/>
  <w15:docId w15:val="{F0E188DB-A942-471C-AC03-9A6094DD0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3474F"/>
    <w:pPr>
      <w:suppressAutoHyphens/>
    </w:pPr>
  </w:style>
  <w:style w:type="paragraph" w:styleId="Nagwek1">
    <w:name w:val="heading 1"/>
    <w:basedOn w:val="Normalny"/>
    <w:next w:val="Normalny"/>
    <w:link w:val="Nagwek1Znak"/>
    <w:uiPriority w:val="9"/>
    <w:qFormat/>
    <w:rsid w:val="002347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347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23474F"/>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3474F"/>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3474F"/>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3474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3474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3474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3474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3474F"/>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3474F"/>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3474F"/>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3474F"/>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3474F"/>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3474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3474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3474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3474F"/>
    <w:rPr>
      <w:rFonts w:eastAsiaTheme="majorEastAsia" w:cstheme="majorBidi"/>
      <w:color w:val="272727" w:themeColor="text1" w:themeTint="D8"/>
    </w:rPr>
  </w:style>
  <w:style w:type="paragraph" w:styleId="Tytu">
    <w:name w:val="Title"/>
    <w:basedOn w:val="Normalny"/>
    <w:next w:val="Normalny"/>
    <w:link w:val="TytuZnak"/>
    <w:uiPriority w:val="10"/>
    <w:qFormat/>
    <w:rsid w:val="002347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3474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3474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3474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3474F"/>
    <w:pPr>
      <w:spacing w:before="160"/>
      <w:jc w:val="center"/>
    </w:pPr>
    <w:rPr>
      <w:i/>
      <w:iCs/>
      <w:color w:val="404040" w:themeColor="text1" w:themeTint="BF"/>
    </w:rPr>
  </w:style>
  <w:style w:type="character" w:customStyle="1" w:styleId="CytatZnak">
    <w:name w:val="Cytat Znak"/>
    <w:basedOn w:val="Domylnaczcionkaakapitu"/>
    <w:link w:val="Cytat"/>
    <w:uiPriority w:val="29"/>
    <w:rsid w:val="0023474F"/>
    <w:rPr>
      <w:i/>
      <w:iCs/>
      <w:color w:val="404040" w:themeColor="text1" w:themeTint="BF"/>
    </w:rPr>
  </w:style>
  <w:style w:type="paragraph" w:styleId="Akapitzlist">
    <w:name w:val="List Paragraph"/>
    <w:basedOn w:val="Normalny"/>
    <w:uiPriority w:val="34"/>
    <w:qFormat/>
    <w:rsid w:val="0023474F"/>
    <w:pPr>
      <w:ind w:left="720"/>
      <w:contextualSpacing/>
    </w:pPr>
  </w:style>
  <w:style w:type="character" w:styleId="Wyrnienieintensywne">
    <w:name w:val="Intense Emphasis"/>
    <w:basedOn w:val="Domylnaczcionkaakapitu"/>
    <w:uiPriority w:val="21"/>
    <w:qFormat/>
    <w:rsid w:val="0023474F"/>
    <w:rPr>
      <w:i/>
      <w:iCs/>
      <w:color w:val="0F4761" w:themeColor="accent1" w:themeShade="BF"/>
    </w:rPr>
  </w:style>
  <w:style w:type="paragraph" w:styleId="Cytatintensywny">
    <w:name w:val="Intense Quote"/>
    <w:basedOn w:val="Normalny"/>
    <w:next w:val="Normalny"/>
    <w:link w:val="CytatintensywnyZnak"/>
    <w:uiPriority w:val="30"/>
    <w:qFormat/>
    <w:rsid w:val="002347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3474F"/>
    <w:rPr>
      <w:i/>
      <w:iCs/>
      <w:color w:val="0F4761" w:themeColor="accent1" w:themeShade="BF"/>
    </w:rPr>
  </w:style>
  <w:style w:type="character" w:styleId="Odwoanieintensywne">
    <w:name w:val="Intense Reference"/>
    <w:basedOn w:val="Domylnaczcionkaakapitu"/>
    <w:uiPriority w:val="32"/>
    <w:qFormat/>
    <w:rsid w:val="0023474F"/>
    <w:rPr>
      <w:b/>
      <w:bCs/>
      <w:smallCaps/>
      <w:color w:val="0F4761" w:themeColor="accent1" w:themeShade="BF"/>
      <w:spacing w:val="5"/>
    </w:rPr>
  </w:style>
  <w:style w:type="paragraph" w:styleId="Stopka">
    <w:name w:val="footer"/>
    <w:basedOn w:val="Normalny"/>
    <w:link w:val="StopkaZnak"/>
    <w:uiPriority w:val="99"/>
    <w:unhideWhenUsed/>
    <w:rsid w:val="0023474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3474F"/>
  </w:style>
  <w:style w:type="character" w:styleId="Hipercze">
    <w:name w:val="Hyperlink"/>
    <w:basedOn w:val="Domylnaczcionkaakapitu"/>
    <w:uiPriority w:val="99"/>
    <w:unhideWhenUsed/>
    <w:rsid w:val="0023474F"/>
    <w:rPr>
      <w:color w:val="467886" w:themeColor="hyperlink"/>
      <w:u w:val="single"/>
    </w:rPr>
  </w:style>
  <w:style w:type="paragraph" w:styleId="Tekstdymka">
    <w:name w:val="Balloon Text"/>
    <w:basedOn w:val="Normalny"/>
    <w:link w:val="TekstdymkaZnak"/>
    <w:uiPriority w:val="99"/>
    <w:semiHidden/>
    <w:unhideWhenUsed/>
    <w:rsid w:val="00F6278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627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samorzadowy.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36357-D6B0-44EB-8078-9D9C3F914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1628</Words>
  <Characters>9771</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Kaliszuk</dc:creator>
  <cp:keywords/>
  <dc:description/>
  <cp:lastModifiedBy>Beata Łuka</cp:lastModifiedBy>
  <cp:revision>2</cp:revision>
  <cp:lastPrinted>2024-11-08T10:18:00Z</cp:lastPrinted>
  <dcterms:created xsi:type="dcterms:W3CDTF">2024-11-19T06:47:00Z</dcterms:created>
  <dcterms:modified xsi:type="dcterms:W3CDTF">2024-11-19T06:47:00Z</dcterms:modified>
</cp:coreProperties>
</file>