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hd w:val="clear" w:color="auto" w:fill="FFFFFF"/>
        <w:spacing w:lineRule="auto" w:line="360" w:before="120" w:after="12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 xml:space="preserve">Ogłoszenie Dyrektora Zakładu Cmentarzu Komunalnych w Olsztynie o przetargu pisemnym nieograniczonym na dzierżawę nieruchomości 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Na podstawie art. 37 ust. 4 oraz art. 38 ust. 1 ustawy  z dnia 21 sierpnia 1997 r. o gospodarce nieruchomościami </w:t>
      </w:r>
      <w:r>
        <w:rPr>
          <w:rFonts w:eastAsia="SimSun" w:cs="Times New Roman" w:ascii="Times New Roman" w:hAnsi="Times New Roman"/>
          <w:sz w:val="24"/>
          <w:szCs w:val="24"/>
        </w:rPr>
        <w:t>(Dz. U. z 2026 r. poz. 399)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, zgodnie z Rozporządzeniem Rady Ministrów z dnia 14 września 2004 r. w sprawie sposobu i trybu przeprowadzania przetargów oraz rokowań na zbycie nieruchomości (t.j. Dz.U. z 2021 r. poz. 2213 z późn.zm.).   </w:t>
      </w:r>
    </w:p>
    <w:p>
      <w:pPr>
        <w:pStyle w:val="Normal"/>
        <w:shd w:val="clear" w:color="auto" w:fill="FFFFFF"/>
        <w:spacing w:lineRule="auto" w:line="360" w:before="0" w:after="120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DYREKTOR ZAKŁADU CMENTARZY KOMUNALNYCH W OLSZTYNIE OGŁASZA PRZETARG PISEMNY NIEOGRANICZONY</w:t>
      </w:r>
    </w:p>
    <w:p>
      <w:pPr>
        <w:pStyle w:val="Normal"/>
        <w:shd w:val="clear" w:color="auto" w:fill="FFFFFF"/>
        <w:spacing w:lineRule="auto" w:line="360" w:before="120" w:after="120"/>
        <w:jc w:val="center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NA DZIERŻAWĘ NIERUCHOMOŚCI STANOWIĄCEJ WŁASNOŚĆ GMINY OLSZTYN NA CELE :</w:t>
      </w:r>
      <w:r>
        <w:rPr>
          <w:rFonts w:eastAsia="Times New Roman" w:cs="Times New Roman" w:ascii="Times New Roman" w:hAnsi="Times New Roman"/>
          <w:sz w:val="24"/>
          <w:szCs w:val="24"/>
          <w:lang w:val="en-US" w:eastAsia="pl-PL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BUDOW</w:t>
      </w:r>
      <w:r>
        <w:rPr>
          <w:rFonts w:eastAsia="Times New Roman" w:cs="Times New Roman" w:ascii="Times New Roman" w:hAnsi="Times New Roman"/>
          <w:sz w:val="24"/>
          <w:szCs w:val="24"/>
          <w:lang w:val="en-US" w:eastAsia="pl-PL"/>
        </w:rPr>
        <w:t xml:space="preserve">A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RESTAURACJI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Oznaczenie nieruchomości według księgi wieczystej: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Przedmiotem przetargu pisemnego jest dzierżawa nieruchomości położonej w Gminie Olsztyn, którą stanowi działka gruntowa 388/2 o powierzchni 0,140</w:t>
      </w:r>
      <w:r>
        <w:rPr>
          <w:rFonts w:eastAsia="Times New Roman" w:cs="Times New Roman" w:ascii="Times New Roman" w:hAnsi="Times New Roman"/>
          <w:sz w:val="24"/>
          <w:szCs w:val="24"/>
          <w:lang w:val="en-US" w:eastAsia="pl-PL"/>
        </w:rPr>
        <w:t>9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ha, niezabudowana – UG.01 – teren usług gastronomii dla której Sąd Rejonowy w Olsztynie VI Wydział Ksiąg Wieczystych prowadzi księgę wieczystą o numerze OL1O/00171456/3 stanowiąca własność Gminy Olsztyn. 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360" w:before="120" w:after="120"/>
        <w:contextualSpacing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Opis i przeznaczenie nieruchomości i sposób jej zagospodarowania: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Działka stanowi zwarty obszar o kształcie nieregularnym. Jest to nieruchomość gruntowa, o powierzchni płaskiej, na której nie ma zieleni w postaci drzew i krzewów.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Działka</w:t>
      </w:r>
      <w:r>
        <w:rPr>
          <w:rFonts w:eastAsia="Times New Roman" w:cs="Times New Roman" w:ascii="Times New Roman" w:hAnsi="Times New Roman"/>
          <w:sz w:val="24"/>
          <w:szCs w:val="24"/>
          <w:lang w:val="en-US" w:eastAsia="pl-PL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widoczna bezpośrednio z ul. Wadąskiej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przeznaczona jest na budowę budynku restauracji, która będzie obsługiwała uroczystości pogrzebowe (konsolacje – stypy), oraz inne imprezy o kameralnym charakterze (komunie, spotkania, wycieczki, itp.).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Wymagania dotyczące koncepcji budynku restauracji zostały opisane w osobnym dokumencie. 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Działka jest położona w sąsiedztwie dwóch dużych domów przedpogrzebowych (w których odbywają się ceremonie pożegnalne przed pogrzebami – wystawienie zwłok), w tym nowo otwartego Wielofunkcyjnego Domu Przedpogrzebowego wraz z krematorium, a także w sąsiedztwie cmentarza komunalnego Dywity, na którym rocznie odbywa się ponad 900 pogrzebów (z tendencją rosnącą).</w:t>
      </w:r>
      <w:r>
        <w:rPr>
          <w:rFonts w:eastAsia="Times New Roman" w:cs="Times New Roman" w:ascii="Times New Roman" w:hAnsi="Times New Roman"/>
          <w:sz w:val="24"/>
          <w:szCs w:val="24"/>
          <w:lang w:val="en-US" w:eastAsia="pl-PL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W sąsiedztwie działki </w:t>
      </w:r>
      <w:r>
        <w:rPr>
          <w:rFonts w:eastAsia="Times New Roman" w:cs="Times New Roman" w:ascii="Times New Roman" w:hAnsi="Times New Roman"/>
          <w:sz w:val="24"/>
          <w:szCs w:val="24"/>
          <w:lang w:val="en-US" w:eastAsia="pl-PL"/>
        </w:rPr>
        <w:t xml:space="preserve">w listopadzie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zostanie uruchomiony jedyny, bezpośredni wjazd na teren cmentarza komunalnego Dywity</w:t>
      </w:r>
      <w:r>
        <w:rPr>
          <w:rFonts w:eastAsia="Times New Roman" w:cs="Times New Roman" w:ascii="Times New Roman" w:hAnsi="Times New Roman"/>
          <w:sz w:val="24"/>
          <w:szCs w:val="24"/>
          <w:lang w:val="en-US" w:eastAsia="pl-PL"/>
        </w:rPr>
        <w:t xml:space="preserve">.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W najbliższej okolicy nie ma restauracji. Przewidziane jest w 2026 r. ogłoszenie przetargu na wieloletnią dzierżawę również sąsiedniej działki 388/3 zabudowanej budynkiem, z przeznaczenie na wyburzenie</w:t>
      </w:r>
      <w:r>
        <w:rPr>
          <w:rFonts w:eastAsia="Times New Roman" w:cs="Times New Roman" w:ascii="Times New Roman" w:hAnsi="Times New Roman"/>
          <w:sz w:val="24"/>
          <w:szCs w:val="24"/>
          <w:lang w:val="en-US" w:eastAsia="pl-PL"/>
        </w:rPr>
        <w:t xml:space="preserve"> go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lub adaptację, w celu wybudowania pawilonu usługowo handlowego (biura zakładów pogrzebowych, kamieniarskich, handel artykułami funeralnymi). Działka 388/2 jest działką niezabudowaną o powierzchni 0,1409 ha. Znajduje się w obszarze, dla którego obowiązuje miejscowy plan zagospodarowania przestrzennego terenu przyległego do cmentarza komunalnego Dywity, uchwalony przez Radę Gminy Dywity uchwałą nr VIII/47/15 z dnia 30 kwietnia 2015 r. (Dz. Urz. Woj. Warmińsko – Mazurskiego z dnia 25.06.2015 r. poz. 2246), dla której Sąd Rejonowy w Olsztynie VI Wydział Ksiąg Wieczystych prowadzi księgę wieczystą o numerze OL1O/00171456/3 stanowiąca własność Gminy Olsztyn.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Zapis w ustaleniach planu dla przedmiotowej działki brzmi: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•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ab/>
        <w:t>„UG.01 – teren usług gastronomii” obejmujący działkę gruntu nr 388/2,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Sąsiadujące nieruchomości: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Działka 388/3 o powierzchni 0,134</w:t>
      </w:r>
      <w:r>
        <w:rPr>
          <w:rFonts w:eastAsia="Times New Roman" w:cs="Times New Roman" w:ascii="Times New Roman" w:hAnsi="Times New Roman"/>
          <w:sz w:val="24"/>
          <w:szCs w:val="24"/>
          <w:lang w:val="en-US" w:eastAsia="pl-PL"/>
        </w:rPr>
        <w:t>6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ha – zabudowana budynkiem – UH.01 – teren usług i handlu.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Działka 388/5 o powierzchni 0,0085 ha – teren ciągu pieszego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Działka 388/4 o powierzchni 0,17</w:t>
      </w:r>
      <w:r>
        <w:rPr>
          <w:rFonts w:eastAsia="Times New Roman" w:cs="Times New Roman" w:ascii="Times New Roman" w:hAnsi="Times New Roman"/>
          <w:sz w:val="24"/>
          <w:szCs w:val="24"/>
          <w:lang w:val="en-US" w:eastAsia="pl-PL"/>
        </w:rPr>
        <w:t>29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ha – teren bezpłatnego parkingu publicznego 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Działka 388/1 o powierzchni 0,3</w:t>
      </w:r>
      <w:r>
        <w:rPr>
          <w:rFonts w:eastAsia="Times New Roman" w:cs="Times New Roman" w:ascii="Times New Roman" w:hAnsi="Times New Roman"/>
          <w:sz w:val="24"/>
          <w:szCs w:val="24"/>
          <w:lang w:val="en-US" w:eastAsia="pl-PL"/>
        </w:rPr>
        <w:t>925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ha – teren drogi wewnętrznej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Nieruchomości pozostają w trwałym zarządzie Zakładu Cmentarzy Komunalnych.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Dostęp do działki (wjazd) od drogi publicznej (ul. Wadąska) jest zapewniony drogą prowadzącą poprzez działki o nr 386/50, 386/35, 387 (właściciel działki: Gmina Olsztyn, Plac Jana Pawła II 1, Olsztyn – trwały zarząd: Zakład Cmentarzy Komunalnych w Olsztynie). Wyjazd do drogi publicznej (ul. Wadąska) zapewniony jest przez działkę 388/1 (właściciel działki: Gmina Olsztyn, Plac Jana Pawła II 1, Olsztyn – trwały zarząd: Zakład Cmentarzy Komunalnych w Olsztynie).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Sąsiednia działka 388/4 stanowi wydzieloną część parkingu publicznego przeznaczoną na obsługę klientów restauracji i punktu usługowo – handlowego (około 50 miejsc plus miejsca dla niepełnosprawnych). Oprócz tego w bezpośrednim sąsiedztwie jest duży parking publiczny z nieograniczonym dostępem na około 240 miejsc oraz na działce wjazdowej 386/50 parking publiczny z nieograniczonym dostępem na około 68 miejsc parkingowych.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Przystanki autobusowe i parkingi zorganizowane są po tej samej stronie (w stosunku do drogi publicznej – ul. Wadąskiej) co przeznaczona do dzierżawy działka 388/2, parking i cmentarz, nie zachodzi zatem konieczność przechodzenia przez jezdnię. W sposób komfortowy zadbano zatem o bezpieczeństwo osób, w szczególności mając na względzie, że głęboki żal i smutek po utracie bliskiej osoby są przyczyną roztargnienia. 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Przyłącza: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Energetyczne – przebiega przez działkę.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Kanalizacyjne – w otoczeniu działki.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Wodociągowe – sieć przebiega przez działkę. 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Hydrant</w:t>
      </w:r>
      <w:r>
        <w:rPr>
          <w:rFonts w:eastAsia="Times New Roman" w:cs="Times New Roman" w:ascii="Times New Roman" w:hAnsi="Times New Roman"/>
          <w:sz w:val="24"/>
          <w:szCs w:val="24"/>
          <w:lang w:val="en-US" w:eastAsia="pl-PL"/>
        </w:rPr>
        <w:t>y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p.poż.</w:t>
      </w:r>
      <w:r>
        <w:rPr>
          <w:rFonts w:eastAsia="Times New Roman" w:cs="Times New Roman" w:ascii="Times New Roman" w:hAnsi="Times New Roman"/>
          <w:sz w:val="24"/>
          <w:szCs w:val="24"/>
          <w:lang w:val="en-US" w:eastAsia="pl-PL"/>
        </w:rPr>
        <w:t xml:space="preserve"> -  </w:t>
      </w:r>
      <w:r>
        <w:rPr>
          <w:rFonts w:cs="Times New Roman" w:ascii="Times New Roman" w:hAnsi="Times New Roman"/>
          <w:sz w:val="24"/>
          <w:szCs w:val="24"/>
        </w:rPr>
        <w:t xml:space="preserve"> dwa hydranty podziemne w otoczeniu obiektu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Niezbędną infrastrukturę techniczną potrzebną do funkcjonowania budynku restauracj</w:t>
      </w:r>
      <w:r>
        <w:rPr>
          <w:rFonts w:eastAsia="Times New Roman" w:cs="Times New Roman" w:ascii="Times New Roman" w:hAnsi="Times New Roman"/>
          <w:sz w:val="24"/>
          <w:szCs w:val="24"/>
          <w:lang w:val="en-US" w:eastAsia="pl-PL"/>
        </w:rPr>
        <w:t>i Dzierżawca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wykona własnym staraniem w porozumieniu z właścicielami sieci.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360" w:before="120" w:after="120"/>
        <w:contextualSpacing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Okres dzierżawy: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Okres dzierżawy wynosi 30 lat od podpisania umowy dzierżawy.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360" w:before="120" w:after="120"/>
        <w:contextualSpacing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Termin zagospodarowania nieruchomości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: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Rozpoczęcie budowy restauracji – nie dłużej niż 24 miesiące od daty zawarcia umowy w formie aktu notarialnego.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Zakończenie budowy restauracji – nie dłużej niż 24 miesiące od rozpoczęcia budowy.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360" w:before="120" w:after="120"/>
        <w:contextualSpacing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Wysokość i termin wnoszenia opłat z tytułu dzierżawy: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val="en-US"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Czynsz miesięczny z tytułu dzierżawy nieruchomości 388/2 (na cele budowy restauracji) stanowi kwotę w wysokości 5 </w:t>
      </w:r>
      <w:r>
        <w:rPr>
          <w:rFonts w:eastAsia="Times New Roman" w:cs="Times New Roman" w:ascii="Times New Roman" w:hAnsi="Times New Roman"/>
          <w:sz w:val="24"/>
          <w:szCs w:val="24"/>
          <w:lang w:val="en-US" w:eastAsia="pl-PL"/>
        </w:rPr>
        <w:t xml:space="preserve">zł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netto za m</w:t>
      </w:r>
      <w:r>
        <w:rPr>
          <w:rFonts w:eastAsia="Times New Roman" w:cs="Times New Roman" w:ascii="Times New Roman" w:hAnsi="Times New Roman"/>
          <w:sz w:val="24"/>
          <w:szCs w:val="24"/>
          <w:vertAlign w:val="superscript"/>
          <w:lang w:eastAsia="pl-PL"/>
        </w:rPr>
        <w:t>2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powiększone o 23% podatek VAT, płatne do dnia 25 każdego miesiąca. Kwota ta stanowi podstawową/minimalną kwotę czynszu dzierżawnego. Ostateczna wysokości czynszu dzierżawnego zostanie ustalona po</w:t>
      </w:r>
      <w:r>
        <w:rPr>
          <w:rFonts w:eastAsia="Times New Roman" w:cs="Times New Roman" w:ascii="Times New Roman" w:hAnsi="Times New Roman"/>
          <w:sz w:val="24"/>
          <w:szCs w:val="24"/>
          <w:lang w:val="en-US" w:eastAsia="pl-PL"/>
        </w:rPr>
        <w:t xml:space="preserve"> ogłoszeniu wyniku przetargu i wyborze oferty.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Dzierżawca będzie zobowiązany do zapłaty podatku od nieruchomości stanowiącej przedmiot dzierżawy.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360" w:before="120" w:after="120"/>
        <w:contextualSpacing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Zasady aktualizacji opłat: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Ustalona w przetargu roczna stawka czynszu będzie corocznie waloryzowana w oparciu o średnioroczny wskaźnik cen towarów i usług konsumpcyjnych za rok ubiegły według danych ogłaszanych przez Główny Urząd Statystyczny.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360" w:before="120" w:after="120"/>
        <w:contextualSpacing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Informacje o przeznaczeniu do oddania w dzierżawę: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Nieruchomość jest przeznaczona do oddania w dzierżawę na cele związane z budową restauracji obsługującej uroczystości konsolacyjne oraz inne uroczystości i oferującej obsługę indywidualną.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360" w:before="120" w:after="120"/>
        <w:contextualSpacing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Obciążenia i zobowiązania dotyczące nieruchomości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: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brak 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360" w:before="120" w:after="120"/>
        <w:contextualSpacing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Oferta powinna zawierać: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360" w:before="120" w:after="120"/>
        <w:contextualSpacing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W przypadku osoby fizycznej: imię i nazwisko, adres zamieszkania, PESEL lub NIP, REGON, aktualny wydruk z Centralnej Ewidencji Działalności Gospodarczej.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360" w:before="120" w:after="120"/>
        <w:contextualSpacing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W przypadku osoby prawnej: nazwę i siedzibę Oferenta, aktualny odpis z KRS.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360" w:before="120" w:after="120"/>
        <w:contextualSpacing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Datę sporządzenia oferty.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360" w:before="120" w:after="120"/>
        <w:contextualSpacing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Wysokość proponowanego czynszu dzierżawnego.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360" w:before="120" w:after="120"/>
        <w:contextualSpacing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Informację o prowadzonej działalności gospodarczej, statusie prawnym Oferenta. 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360" w:before="120" w:after="120"/>
        <w:contextualSpacing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Zgodę współmałżonka w przypadku, gdy Oferentem jest osoba fizyczna.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360" w:before="120" w:after="120"/>
        <w:contextualSpacing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Zgodę na przetwarzanie danych osobowych zgodnie z klauzulą informacyjną RODO dotyczącą przetwarzania danych osobowych.  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360" w:before="120" w:after="120"/>
        <w:contextualSpacing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Oświadczenie, że oferent zapoznał się z Opisem wymagań inwestycyjnych restauracji i koncepcją zagospodarowania nieruchomości, na której ma powstać budynek restauracji (Koncepcja zagospodarowania terenu) będzie zgodna z Opisem wymagań inwestycyjnych.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360" w:before="120" w:after="120"/>
        <w:contextualSpacing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Oświadczenie, że wszystkie podane w ofercie informacje są zgodne z aktualnym stanem faktycznym i prawnym.</w:t>
      </w:r>
    </w:p>
    <w:p>
      <w:pPr>
        <w:pStyle w:val="ListParagraph"/>
        <w:numPr>
          <w:ilvl w:val="0"/>
          <w:numId w:val="2"/>
        </w:numPr>
        <w:shd w:val="clear" w:color="auto" w:fill="FFFFFF"/>
        <w:spacing w:lineRule="auto" w:line="360" w:before="120" w:after="120"/>
        <w:contextualSpacing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Oświadczenie, że oferent zapoznał się z warunkami przetargu.</w:t>
      </w:r>
    </w:p>
    <w:p>
      <w:pPr>
        <w:pStyle w:val="Normal"/>
        <w:shd w:val="clear" w:color="auto" w:fill="FFFFFF"/>
        <w:spacing w:lineRule="auto" w:line="360" w:before="120" w:after="120"/>
        <w:ind w:left="36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Oferta i wszystkie oświadczenia załączone do niej winny być podpisane przez Oferenta lub osoby przez niego upoważnione. W przypadku reprezentowania Oferenta przez pełnomocnika do oferty należy dołączyć</w:t>
      </w:r>
      <w:r>
        <w:rPr/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oryginał pełnomocnictwa lub kopię potwierdzoną za zgodność z oryginałem przez notariusza.  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360" w:before="120" w:after="120"/>
        <w:contextualSpacing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Wadium:</w:t>
      </w:r>
    </w:p>
    <w:p>
      <w:pPr>
        <w:pStyle w:val="ListParagraph"/>
        <w:numPr>
          <w:ilvl w:val="0"/>
          <w:numId w:val="3"/>
        </w:numPr>
        <w:shd w:val="clear" w:color="auto" w:fill="FFFFFF"/>
        <w:spacing w:lineRule="auto" w:line="360" w:before="120" w:after="120"/>
        <w:contextualSpacing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Aby przystąpić do przetargu należy wnieść wadium w terminie najpóźniej do dnia </w:t>
      </w:r>
      <w:r>
        <w:rPr>
          <w:rFonts w:eastAsia="Times New Roman" w:cs="Times New Roman" w:ascii="Times New Roman" w:hAnsi="Times New Roman"/>
          <w:sz w:val="24"/>
          <w:szCs w:val="24"/>
          <w:lang w:val="en-US" w:eastAsia="pl-PL"/>
        </w:rPr>
        <w:t>17.11.2026 r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 w pieniądzu w wysokości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: 1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 w:eastAsia="pl-PL"/>
        </w:rPr>
        <w:t>2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 xml:space="preserve"> 000, 00 zł. (słownie: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 w:eastAsia="pl-PL"/>
        </w:rPr>
        <w:t>dwanaście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 xml:space="preserve"> tysięcy złotych).</w:t>
      </w:r>
    </w:p>
    <w:p>
      <w:pPr>
        <w:pStyle w:val="ListParagraph"/>
        <w:numPr>
          <w:ilvl w:val="0"/>
          <w:numId w:val="3"/>
        </w:numPr>
        <w:shd w:val="clear" w:color="auto" w:fill="FFFFFF"/>
        <w:spacing w:lineRule="auto" w:line="360" w:before="120" w:after="120"/>
        <w:contextualSpacing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Wadium należy wpłacić na konto ZCK w Olsztynie nr: 56 1030 1508 0000 0008 2300 4000 z opisem: “Wadiu</w:t>
      </w:r>
      <w:r>
        <w:rPr>
          <w:rFonts w:eastAsia="Times New Roman" w:cs="Times New Roman" w:ascii="Times New Roman" w:hAnsi="Times New Roman"/>
          <w:sz w:val="24"/>
          <w:szCs w:val="24"/>
          <w:lang w:val="en-US" w:eastAsia="pl-PL"/>
        </w:rPr>
        <w:t xml:space="preserve">m -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przetarg dotyczący dzierżawy działki w celu budowy restauracji w Olsztynie”.</w:t>
      </w:r>
    </w:p>
    <w:p>
      <w:pPr>
        <w:pStyle w:val="ListParagraph"/>
        <w:numPr>
          <w:ilvl w:val="0"/>
          <w:numId w:val="3"/>
        </w:numPr>
        <w:shd w:val="clear" w:color="auto" w:fill="FFFFFF"/>
        <w:spacing w:lineRule="auto" w:line="360" w:before="120" w:after="120"/>
        <w:contextualSpacing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Tytuł wpłaty wadium winien wskazywać jednoznacznie uczestnika przetargu oraz nieruchomość, której wpłata dotyczy.</w:t>
      </w:r>
    </w:p>
    <w:p>
      <w:pPr>
        <w:pStyle w:val="ListParagraph"/>
        <w:numPr>
          <w:ilvl w:val="0"/>
          <w:numId w:val="3"/>
        </w:numPr>
        <w:shd w:val="clear" w:color="auto" w:fill="FFFFFF"/>
        <w:spacing w:lineRule="auto" w:line="360" w:before="120" w:after="120"/>
        <w:contextualSpacing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Za dzień wniesienia wadium uważa się datę wpływu środków pieniężnych na konto ZCK w Olsztynie.</w:t>
      </w:r>
    </w:p>
    <w:p>
      <w:pPr>
        <w:pStyle w:val="ListParagraph"/>
        <w:numPr>
          <w:ilvl w:val="0"/>
          <w:numId w:val="3"/>
        </w:numPr>
        <w:shd w:val="clear" w:color="auto" w:fill="FFFFFF"/>
        <w:spacing w:lineRule="auto" w:line="360" w:before="120" w:after="120"/>
        <w:contextualSpacing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Wadium wniesione przez uczestnika, który wygrał przetarg, zalicza się na poczet pierwszego i następnych czynszów z tytułu dzierżawy nieruchomości.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360" w:before="120" w:after="120"/>
        <w:contextualSpacing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Zwolnienie z obowiązku wadium: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Osoby, którym przysługuje prawo do rekompensaty z tytułu pozostawienia nieruchomości poza obecnymi granicami Rzeczpospolitej Polskiej w wyniku wypędzenia z byłego terytorium Rzeczpospolitej Polskiej lub jego opuszczenia w związku z wojną rozpoczętą w 1939 r., zwalnia się z obowiązku wniesienia wadium w wyznaczonym w ogłoszeniu o przetargu terminie, jeżeli zgłoszą uczestnictwo w przetargu, przedstawią oryginał zaświadczenia lub decyzji potwierdzającej prawo do zaliczenia wartości nieruchomości pozostawionych poza obecnymi granicami państwa polskiego oraz złożą pisemne zobowiązanie do uiszczenia kwoty równej wysokości wadium ustalonego w razie uchylenia się od zawarcia umowy.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Jednocześnie informuje się, że jeżeli osoba ustalona jako Dzierżawca nieruchomości (którego oferta została wybrana jako najkorzystniejsza) nie przystąpi bez usprawiedliwienia do zawarcia umowy w miejscu i terminie podanym w zawiadomieniu, Dyrektor ZCK może odstąpić od zawarcia umowy, a wpłacone wadium nie podlega zwrotowi (zgodnie z art. 41 ust. 2 Ustawy o gospodarce nieruchomościami). Pozostałym uczestnikom przetargu wadium zostanie zwrócone w ciągu 3 dni od rozstrzygnięcia przetargu lub zakończenia wynikiem negatywnym na wskazany przez uczestnika przetargu rachunek bankowy.</w:t>
      </w:r>
    </w:p>
    <w:p>
      <w:pPr>
        <w:pStyle w:val="Normal"/>
        <w:shd w:val="clear" w:color="auto" w:fill="FFFFFF"/>
        <w:spacing w:lineRule="auto" w:line="360" w:before="120" w:after="1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Zastrzega się  prawo zamknięcia przetargu bez wybrania którejkolwiek z ofert.</w:t>
      </w:r>
    </w:p>
    <w:p>
      <w:pPr>
        <w:pStyle w:val="ListParagraph"/>
        <w:numPr>
          <w:ilvl w:val="0"/>
          <w:numId w:val="1"/>
        </w:numPr>
        <w:spacing w:lineRule="auto" w:line="360" w:before="120" w:after="1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Termin i miejsce składania pisemnych ofert:</w:t>
      </w:r>
    </w:p>
    <w:p>
      <w:pPr>
        <w:pStyle w:val="Normal"/>
        <w:spacing w:lineRule="auto" w:line="360"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Oferty należy składać w formie pisemnej, w zamkniętej kopercie, w siedzibie Zakładu Cmentarzy Komunalnych w Olsztynie, ul. Poprzeczna 9B w pokoju nr 11, w terminie do dnia </w:t>
      </w:r>
      <w:r>
        <w:rPr>
          <w:rFonts w:cs="Times New Roman" w:ascii="Times New Roman" w:hAnsi="Times New Roman"/>
          <w:b/>
          <w:bCs/>
          <w:sz w:val="24"/>
          <w:szCs w:val="24"/>
        </w:rPr>
        <w:t>20.11.2026 r.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 do godz. 10:00. </w:t>
      </w:r>
      <w:r>
        <w:rPr>
          <w:rFonts w:cs="Times New Roman" w:ascii="Times New Roman" w:hAnsi="Times New Roman"/>
          <w:sz w:val="24"/>
          <w:szCs w:val="24"/>
        </w:rPr>
        <w:t xml:space="preserve">O zachowaniu terminu złożenia oferty decyduje data jej wpływu do Zakładu Cmentarzy Komunalnych. Kopertę należy oznaczyć: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NIE OTWIERAĆ PRZED DNIEM 20.11.2026r. do godz. 10:15 </w:t>
      </w:r>
      <w:r>
        <w:rPr>
          <w:rFonts w:cs="Times New Roman" w:ascii="Times New Roman" w:hAnsi="Times New Roman"/>
          <w:bCs/>
          <w:sz w:val="24"/>
          <w:szCs w:val="24"/>
        </w:rPr>
        <w:t>„Przetarg pisemny na dzierżawę</w:t>
      </w: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bCs/>
          <w:sz w:val="24"/>
          <w:szCs w:val="24"/>
        </w:rPr>
        <w:t>nieruchomości, stanowiącej własność Gminy Olsztyn na cele budowy restauracji”.</w:t>
      </w:r>
    </w:p>
    <w:p>
      <w:pPr>
        <w:pStyle w:val="Normal"/>
        <w:spacing w:lineRule="auto" w:line="360"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Przetarg może się odbyć, chociażby wpłynęła tylko jedna oferta spełniająca warunki określone w niniejszym ogłoszeniu.</w:t>
      </w:r>
    </w:p>
    <w:p>
      <w:pPr>
        <w:pStyle w:val="Normal"/>
        <w:spacing w:lineRule="auto" w:line="360"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Przetarg przeprowadzi komisja przetargowa w sposób następujący:</w:t>
      </w:r>
    </w:p>
    <w:p>
      <w:pPr>
        <w:pStyle w:val="ListParagraph"/>
        <w:numPr>
          <w:ilvl w:val="0"/>
          <w:numId w:val="4"/>
        </w:numPr>
        <w:spacing w:lineRule="auto" w:line="360" w:before="120" w:after="1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Otwarcie ofert (część jawna przetargu) nastąpi w siedzibie Zakładu Cmentarzy Komunalnych w Olsztynie, przy ul. Poprzecznej 9B </w:t>
      </w:r>
      <w:r>
        <w:rPr>
          <w:rFonts w:cs="Times New Roman" w:ascii="Times New Roman" w:hAnsi="Times New Roman"/>
          <w:b/>
          <w:bCs/>
          <w:sz w:val="24"/>
          <w:szCs w:val="24"/>
        </w:rPr>
        <w:t>w dniu 20.11.2026 r. w Sali nr 1 o godz. 10:15.</w:t>
      </w:r>
    </w:p>
    <w:p>
      <w:pPr>
        <w:pStyle w:val="ListParagraph"/>
        <w:numPr>
          <w:ilvl w:val="0"/>
          <w:numId w:val="4"/>
        </w:numPr>
        <w:spacing w:lineRule="auto" w:line="360" w:before="120" w:after="1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Część jawna przetargu, w obecności oferentów: komisja przetargowa poda liczbę otrzymanych ofert, dokona otwarcia kopert z ofertami oraz sprawdzi kompletność złożonych ofert oraz tożsamość osób, które złożyły oferty, przyjmie wyjaśnienia lub oświadczenia zgłoszone przez oferentów, zweryfikuje oferty i ogłosi, które oferty zostały zakwalifikowane do części niejawnej przetargu, zawiadomi oferentów o terminie i miejscu części niejawnej przetargu oraz o przewidywanym terminie zamknięcia przetargu.</w:t>
      </w:r>
    </w:p>
    <w:p>
      <w:pPr>
        <w:pStyle w:val="ListParagraph"/>
        <w:numPr>
          <w:ilvl w:val="0"/>
          <w:numId w:val="4"/>
        </w:numPr>
        <w:spacing w:lineRule="auto" w:line="360" w:before="120" w:after="1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Komisja przetargowa odmówi zakwalifikowania ofert do części niejawnej przetargu, jeżeli: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1134" w:leader="none"/>
        </w:tabs>
        <w:spacing w:lineRule="auto" w:line="360" w:before="120" w:after="120"/>
        <w:ind w:hanging="360" w:left="113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nie będą odpowiadać warunkom przetargu,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1134" w:leader="none"/>
        </w:tabs>
        <w:spacing w:lineRule="auto" w:line="360" w:before="120" w:after="120"/>
        <w:ind w:hanging="360" w:left="113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zostaną złożone po wyznaczonym terminie,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1134" w:leader="none"/>
        </w:tabs>
        <w:spacing w:lineRule="auto" w:line="360" w:before="120" w:after="120"/>
        <w:ind w:hanging="360" w:left="113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nie będą zawierać danych wymienionych w punkcie 8 niniejszego ogłoszenia lub dane te będą niekompletne.</w:t>
      </w:r>
    </w:p>
    <w:p>
      <w:pPr>
        <w:pStyle w:val="ListParagraph"/>
        <w:numPr>
          <w:ilvl w:val="0"/>
          <w:numId w:val="4"/>
        </w:numPr>
        <w:spacing w:lineRule="auto" w:line="360" w:before="120" w:after="1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 części niejawnej przetargu komisja przetargowa dokona szczegółowej analizy ofert oraz wybierze najkorzystniejszą z nich na podstawie kryterium najwyższej zaproponowanej przez oferentów stawki czynszu dzierżawnego. Oferenci mogą zaproponować stawkę wyższą od stawki podstawowej powiększoną o minimum 0,1 zł (słownie: dziesięć groszy). </w:t>
      </w:r>
    </w:p>
    <w:p>
      <w:pPr>
        <w:pStyle w:val="ListParagraph"/>
        <w:spacing w:lineRule="auto" w:line="360" w:before="120" w:after="1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Podstawowa stawka czynszu wynosi: dla działki 388/2 – 5 zł</w:t>
      </w:r>
      <w:r>
        <w:rPr>
          <w:rFonts w:cs="Times New Roman" w:ascii="Times New Roman" w:hAnsi="Times New Roman"/>
          <w:color w:val="EE0000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netto za m</w:t>
      </w:r>
      <w:r>
        <w:rPr>
          <w:rFonts w:cs="Times New Roman" w:ascii="Times New Roman" w:hAnsi="Times New Roman"/>
          <w:sz w:val="24"/>
          <w:szCs w:val="24"/>
          <w:vertAlign w:val="superscript"/>
        </w:rPr>
        <w:t>2</w:t>
      </w:r>
      <w:r>
        <w:rPr>
          <w:rFonts w:cs="Times New Roman" w:ascii="Times New Roman" w:hAnsi="Times New Roman"/>
          <w:sz w:val="24"/>
          <w:szCs w:val="24"/>
        </w:rPr>
        <w:t xml:space="preserve"> powiększone o podatek VAT</w:t>
      </w:r>
    </w:p>
    <w:p>
      <w:pPr>
        <w:pStyle w:val="Normal"/>
        <w:spacing w:lineRule="auto" w:line="360" w:before="120" w:after="12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Za ofertę najkorzystniejszą zostanie uznana oferta, zawierająca najwyższą stawkę czynszu dzierżawnego.</w:t>
      </w:r>
    </w:p>
    <w:p>
      <w:pPr>
        <w:pStyle w:val="ListParagraph"/>
        <w:numPr>
          <w:ilvl w:val="0"/>
          <w:numId w:val="1"/>
        </w:numPr>
        <w:spacing w:lineRule="auto" w:line="360" w:before="120" w:after="1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Informacje dodatkowe:</w:t>
      </w:r>
    </w:p>
    <w:p>
      <w:pPr>
        <w:pStyle w:val="ListParagraph"/>
        <w:numPr>
          <w:ilvl w:val="1"/>
          <w:numId w:val="5"/>
        </w:numPr>
        <w:spacing w:lineRule="auto" w:line="276" w:before="120" w:after="120"/>
        <w:ind w:hanging="360" w:left="709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Dyrektor ZCK w Olsztyna zastrzega sobie prawo odwołania przetargu bez podania przyczyn.</w:t>
      </w:r>
    </w:p>
    <w:p>
      <w:pPr>
        <w:pStyle w:val="ListParagraph"/>
        <w:numPr>
          <w:ilvl w:val="1"/>
          <w:numId w:val="5"/>
        </w:numPr>
        <w:spacing w:lineRule="auto" w:line="276" w:before="120" w:after="120"/>
        <w:ind w:hanging="360" w:left="709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Przetarg może zostać zamknięty bez wybrania którejkolwiek z ofert.</w:t>
      </w:r>
    </w:p>
    <w:p>
      <w:pPr>
        <w:pStyle w:val="ListParagraph"/>
        <w:numPr>
          <w:ilvl w:val="1"/>
          <w:numId w:val="5"/>
        </w:numPr>
        <w:spacing w:lineRule="auto" w:line="276" w:before="120" w:after="120"/>
        <w:ind w:hanging="360" w:left="709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Przetarg uważa się za zamknięty z chwilą podpisania protokołu.</w:t>
      </w:r>
    </w:p>
    <w:p>
      <w:pPr>
        <w:pStyle w:val="ListParagraph"/>
        <w:numPr>
          <w:ilvl w:val="1"/>
          <w:numId w:val="5"/>
        </w:numPr>
        <w:spacing w:lineRule="auto" w:line="276" w:before="120" w:after="120"/>
        <w:ind w:hanging="360" w:left="709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Przewodniczący komisji przetargowej zawiadomi na piśmie wszystkich, którzy złożyli oferty, o wyniku przetargu w terminie nie dłuższym niż 3 dni od dnia zamknięcia przetargu.</w:t>
      </w:r>
    </w:p>
    <w:p>
      <w:pPr>
        <w:pStyle w:val="ListParagraph"/>
        <w:numPr>
          <w:ilvl w:val="1"/>
          <w:numId w:val="5"/>
        </w:numPr>
        <w:spacing w:lineRule="auto" w:line="276" w:before="120" w:after="120"/>
        <w:ind w:hanging="360" w:left="709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Uchylenie się od zawarcia umowy dzierżawy uprawnia Dyrektora ZCK do odstąpienia od zawarcia umowy.</w:t>
      </w:r>
    </w:p>
    <w:p>
      <w:pPr>
        <w:pStyle w:val="ListParagraph"/>
        <w:numPr>
          <w:ilvl w:val="1"/>
          <w:numId w:val="5"/>
        </w:numPr>
        <w:spacing w:lineRule="auto" w:line="276" w:before="120" w:after="120"/>
        <w:ind w:hanging="360" w:left="709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Koszty sporządzenia umowy użytkowania w formie aktu notarialnego oraz opłaty sądowej związanej z dokonaniem wpisów w księdze wieczystej ponosi wygrywający przetarg.</w:t>
      </w:r>
    </w:p>
    <w:p>
      <w:pPr>
        <w:pStyle w:val="ListParagraph"/>
        <w:numPr>
          <w:ilvl w:val="1"/>
          <w:numId w:val="5"/>
        </w:numPr>
        <w:spacing w:lineRule="auto" w:line="276" w:before="120" w:after="120"/>
        <w:ind w:hanging="360" w:left="709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Organizator zastrzega sobie prawo do zmiany miejsca przeprowadzenia części jawnej przetargu.</w:t>
      </w:r>
    </w:p>
    <w:p>
      <w:pPr>
        <w:pStyle w:val="ListParagraph"/>
        <w:numPr>
          <w:ilvl w:val="1"/>
          <w:numId w:val="5"/>
        </w:numPr>
        <w:spacing w:lineRule="auto" w:line="276" w:before="120" w:after="120"/>
        <w:ind w:hanging="360" w:left="709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Niniejsze ogłoszenie jest zamieszczone na stronie Biuletynu Informacji Publicznej ZCK w Olsztynie  pod adresem internetowym  http://</w:t>
      </w:r>
      <w:r>
        <w:rPr>
          <w:rFonts w:cs="Times New Roman" w:ascii="Times New Roman" w:hAnsi="Times New Roman"/>
          <w:b/>
          <w:sz w:val="24"/>
          <w:szCs w:val="24"/>
        </w:rPr>
        <w:t>www.zck.olsztyn.eu</w:t>
      </w:r>
      <w:r>
        <w:rPr>
          <w:rFonts w:cs="Times New Roman" w:ascii="Times New Roman" w:hAnsi="Times New Roman"/>
          <w:sz w:val="24"/>
          <w:szCs w:val="24"/>
        </w:rPr>
        <w:t>, w zakładce zmówienia publiczne / przetargi aktualne .</w:t>
      </w:r>
    </w:p>
    <w:p>
      <w:pPr>
        <w:pStyle w:val="ListParagraph"/>
        <w:numPr>
          <w:ilvl w:val="1"/>
          <w:numId w:val="5"/>
        </w:numPr>
        <w:spacing w:lineRule="auto" w:line="276" w:before="120" w:after="160"/>
        <w:ind w:hanging="360" w:left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  <w:shd w:fill="FFFFFF" w:val="clear"/>
        </w:rPr>
        <w:t xml:space="preserve">Szczegółowe informacje dotyczące przedmiotowej nieruchomości oraz przetargu można uzyskać pod nr tel. </w:t>
      </w:r>
      <w:r>
        <w:rPr>
          <w:rFonts w:cs="Times New Roman" w:ascii="Times New Roman" w:hAnsi="Times New Roman"/>
          <w:sz w:val="24"/>
          <w:szCs w:val="24"/>
          <w:u w:val="single"/>
          <w:shd w:fill="FFFFFF" w:val="clear"/>
        </w:rPr>
        <w:t>784 004 203</w:t>
      </w:r>
      <w:r>
        <w:rPr>
          <w:rFonts w:cs="Times New Roman" w:ascii="Times New Roman" w:hAnsi="Times New Roman"/>
          <w:sz w:val="24"/>
          <w:szCs w:val="24"/>
          <w:shd w:fill="FFFFFF" w:val="clear"/>
        </w:rPr>
        <w:t xml:space="preserve"> lub kierując pytania na adres: </w:t>
      </w:r>
      <w:hyperlink r:id="rId2">
        <w:r>
          <w:rPr>
            <w:rStyle w:val="Hyperlink"/>
            <w:rFonts w:cs="Times New Roman" w:ascii="Times New Roman" w:hAnsi="Times New Roman"/>
            <w:b/>
            <w:sz w:val="24"/>
            <w:szCs w:val="24"/>
            <w:shd w:fill="FFFFFF" w:val="clear"/>
          </w:rPr>
          <w:t>biuro@zck.olsztyn.pl</w:t>
        </w:r>
      </w:hyperlink>
    </w:p>
    <w:p>
      <w:pPr>
        <w:pStyle w:val="ListParagraph"/>
        <w:spacing w:lineRule="auto" w:line="360" w:before="240" w:after="120"/>
        <w:ind w:left="709"/>
        <w:contextualSpacing/>
        <w:rPr>
          <w:rFonts w:ascii="Times New Roman" w:hAnsi="Times New Roman" w:cs="Times New Roman"/>
          <w:bCs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Załączniki do niniejszego ogłoszenia stanowią:</w:t>
      </w:r>
    </w:p>
    <w:p>
      <w:pPr>
        <w:pStyle w:val="ListParagraph"/>
        <w:numPr>
          <w:ilvl w:val="0"/>
          <w:numId w:val="6"/>
        </w:numPr>
        <w:spacing w:lineRule="auto" w:line="240" w:before="120" w:after="120"/>
        <w:contextualSpacing/>
        <w:rPr>
          <w:rFonts w:ascii="Times New Roman" w:hAnsi="Times New Roman" w:cs="Times New Roman"/>
          <w:bCs/>
          <w:sz w:val="20"/>
          <w:szCs w:val="20"/>
        </w:rPr>
      </w:pPr>
      <w:r>
        <w:rPr>
          <w:rFonts w:cs="Times New Roman" w:ascii="Times New Roman" w:hAnsi="Times New Roman"/>
          <w:bCs/>
          <w:sz w:val="20"/>
          <w:szCs w:val="20"/>
        </w:rPr>
        <w:t>Wzór formularza ofertowego</w:t>
      </w:r>
    </w:p>
    <w:p>
      <w:pPr>
        <w:pStyle w:val="ListParagraph"/>
        <w:numPr>
          <w:ilvl w:val="0"/>
          <w:numId w:val="6"/>
        </w:numPr>
        <w:spacing w:lineRule="auto" w:line="240" w:before="120" w:after="120"/>
        <w:contextualSpacing/>
        <w:rPr>
          <w:rFonts w:ascii="Times New Roman" w:hAnsi="Times New Roman" w:cs="Times New Roman"/>
          <w:bCs/>
          <w:sz w:val="20"/>
          <w:szCs w:val="20"/>
        </w:rPr>
      </w:pPr>
      <w:r>
        <w:rPr>
          <w:rFonts w:cs="Times New Roman" w:ascii="Times New Roman" w:hAnsi="Times New Roman"/>
          <w:bCs/>
          <w:sz w:val="20"/>
          <w:szCs w:val="20"/>
        </w:rPr>
        <w:t>Opis wymagań inwestycyjnych</w:t>
      </w:r>
    </w:p>
    <w:p>
      <w:pPr>
        <w:pStyle w:val="ListParagraph"/>
        <w:numPr>
          <w:ilvl w:val="0"/>
          <w:numId w:val="6"/>
        </w:numPr>
        <w:spacing w:lineRule="auto" w:line="240" w:before="120" w:after="120"/>
        <w:contextualSpacing/>
        <w:rPr>
          <w:rFonts w:ascii="Times New Roman" w:hAnsi="Times New Roman" w:cs="Times New Roman"/>
          <w:bCs/>
          <w:sz w:val="20"/>
          <w:szCs w:val="20"/>
        </w:rPr>
      </w:pPr>
      <w:r>
        <w:rPr>
          <w:rFonts w:cs="Times New Roman" w:ascii="Times New Roman" w:hAnsi="Times New Roman"/>
          <w:bCs/>
          <w:sz w:val="20"/>
          <w:szCs w:val="20"/>
        </w:rPr>
        <w:t>Projekt umowy dzierżawy</w:t>
      </w:r>
    </w:p>
    <w:p>
      <w:pPr>
        <w:pStyle w:val="ListParagraph"/>
        <w:numPr>
          <w:ilvl w:val="0"/>
          <w:numId w:val="6"/>
        </w:numPr>
        <w:spacing w:lineRule="auto" w:line="240" w:before="120" w:after="120"/>
        <w:contextualSpacing/>
        <w:rPr>
          <w:rFonts w:ascii="Times New Roman" w:hAnsi="Times New Roman" w:cs="Times New Roman"/>
          <w:bCs/>
          <w:sz w:val="20"/>
          <w:szCs w:val="20"/>
        </w:rPr>
      </w:pPr>
      <w:r>
        <w:rPr>
          <w:rFonts w:cs="Times New Roman" w:ascii="Times New Roman" w:hAnsi="Times New Roman"/>
          <w:bCs/>
          <w:sz w:val="20"/>
          <w:szCs w:val="20"/>
        </w:rPr>
        <w:t>Plan sytuacyjny – mapa</w:t>
      </w:r>
    </w:p>
    <w:p>
      <w:pPr>
        <w:pStyle w:val="ListParagraph"/>
        <w:numPr>
          <w:ilvl w:val="0"/>
          <w:numId w:val="6"/>
        </w:numPr>
        <w:spacing w:lineRule="auto" w:line="240" w:before="120" w:after="120"/>
        <w:contextualSpacing/>
        <w:rPr>
          <w:rFonts w:ascii="Times New Roman" w:hAnsi="Times New Roman" w:cs="Times New Roman"/>
          <w:bCs/>
          <w:sz w:val="20"/>
          <w:szCs w:val="20"/>
        </w:rPr>
      </w:pPr>
      <w:r>
        <w:rPr>
          <w:rFonts w:cs="Times New Roman" w:ascii="Times New Roman" w:hAnsi="Times New Roman"/>
          <w:bCs/>
          <w:sz w:val="20"/>
          <w:szCs w:val="20"/>
        </w:rPr>
        <w:t>Klauzula informacyjna RODO</w:t>
      </w:r>
    </w:p>
    <w:p>
      <w:pPr>
        <w:pStyle w:val="ListParagraph"/>
        <w:numPr>
          <w:ilvl w:val="0"/>
          <w:numId w:val="6"/>
        </w:numPr>
        <w:spacing w:lineRule="auto" w:line="240" w:before="120" w:after="120"/>
        <w:contextualSpacing/>
        <w:rPr>
          <w:rFonts w:ascii="Times New Roman" w:hAnsi="Times New Roman" w:cs="Times New Roman"/>
          <w:bCs/>
          <w:sz w:val="20"/>
          <w:szCs w:val="20"/>
        </w:rPr>
      </w:pPr>
      <w:r>
        <w:rPr>
          <w:rFonts w:cs="Times New Roman" w:ascii="Times New Roman" w:hAnsi="Times New Roman"/>
          <w:bCs/>
          <w:sz w:val="20"/>
          <w:szCs w:val="20"/>
        </w:rPr>
        <w:t>Oświadczenie o braku zaległości podatkowych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)"/>
      <w:lvlJc w:val="left"/>
      <w:pPr>
        <w:tabs>
          <w:tab w:val="num" w:pos="0"/>
        </w:tabs>
        <w:ind w:left="644" w:hanging="360"/>
      </w:pPr>
      <w:rPr>
        <w:b w:val="fals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)"/>
      <w:lvlJc w:val="left"/>
      <w:pPr>
        <w:tabs>
          <w:tab w:val="num" w:pos="0"/>
        </w:tabs>
        <w:ind w:left="180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 w:qFormat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宋体" w:asciiTheme="minorHAnsi" w:cstheme="minorBidi" w:eastAsiaTheme="minorHAnsi" w:hAnsiTheme="minorHAnsi"/>
      <w:color w:val="auto"/>
      <w:kern w:val="0"/>
      <w:sz w:val="22"/>
      <w:szCs w:val="22"/>
      <w:lang w:eastAsia="en-US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qFormat/>
    <w:rPr>
      <w:color w:themeColor="hyperlink" w:val="0563C1"/>
      <w:u w:val="single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styleId="LineNumber" w:customStyle="1">
    <w:name w:val="Line Number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qFormat/>
    <w:pPr>
      <w:spacing w:lineRule="auto" w:line="276" w:before="0" w:after="140"/>
    </w:pPr>
    <w:rPr/>
  </w:style>
  <w:style w:type="paragraph" w:styleId="List">
    <w:name w:val="List"/>
    <w:basedOn w:val="BodyText"/>
    <w:qFormat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pPr/>
    <w:rPr>
      <w:b/>
      <w:bCs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ListParagraph">
    <w:name w:val="List Paragraph"/>
    <w:basedOn w:val="Normal"/>
    <w:uiPriority w:val="34"/>
    <w:qFormat/>
    <w:pPr>
      <w:spacing w:before="0" w:after="160"/>
      <w:ind w:left="720"/>
      <w:contextualSpacing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biuro@zck.olsztyn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EE518-2313-4552-9A07-24A392994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Application>LibreOffice/24.2.7.2$Windows_X86_64 LibreOffice_project/ee3885777aa7032db5a9b65deec9457448a91162</Application>
  <AppVersion>15.0000</AppVersion>
  <Pages>7</Pages>
  <Words>1934</Words>
  <Characters>11610</Characters>
  <CharactersWithSpaces>13517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2026-02-26T08:01:00Z</dcterms:created>
  <dc:creator>Agata Kozłowska</dc:creator>
  <dc:description/>
  <dc:language>pl-PL</dc:language>
  <cp:lastModifiedBy>Anna Ferszt</cp:lastModifiedBy>
  <cp:lastPrinted>2022-07-19T06:30:00Z</cp:lastPrinted>
  <dcterms:modified xsi:type="dcterms:W3CDTF">2026-10-20T11:23:00Z</dcterms:modified>
  <cp:revision>34</cp:revision>
  <dc:subject/>
  <dc:title>Ogłoszenie_przetarg_na_dzierżawę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A7F44E447A4D4085A6445A6FD1FA4A48_12</vt:lpwstr>
  </property>
  <property fmtid="{D5CDD505-2E9C-101B-9397-08002B2CF9AE}" pid="3" name="KSOProductBuildVer">
    <vt:lpwstr>1045-12.1.0.26372</vt:lpwstr>
  </property>
  <property fmtid="{D5CDD505-2E9C-101B-9397-08002B2CF9AE}" pid="4" name="KSOTemplateDocerSaveRecord">
    <vt:lpwstr>eyJoZGlkIjoiYzI5YWFlNzQ3MzU1ZjhjMTgzOGMyMjE0YTk1NzhjNzEifQ==</vt:lpwstr>
  </property>
</Properties>
</file>