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3873D" w14:textId="77777777" w:rsidR="00E20CE9" w:rsidRDefault="004F06DD">
      <w:pPr>
        <w:pStyle w:val="Nagwek2user"/>
        <w:tabs>
          <w:tab w:val="left" w:pos="0"/>
        </w:tabs>
        <w:jc w:val="center"/>
      </w:pPr>
      <w:r>
        <w:rPr>
          <w:rFonts w:ascii="Times New Roman" w:hAnsi="Times New Roman"/>
          <w:sz w:val="22"/>
          <w:szCs w:val="22"/>
        </w:rPr>
        <w:t>UZASADNIENIE</w:t>
      </w:r>
    </w:p>
    <w:p w14:paraId="4C77EDA6" w14:textId="77777777" w:rsidR="00E20CE9" w:rsidRDefault="004F06DD">
      <w:pPr>
        <w:pStyle w:val="Tekstpodstawowy"/>
        <w:spacing w:before="57" w:after="197"/>
        <w:ind w:firstLine="284"/>
        <w:jc w:val="center"/>
      </w:pPr>
      <w:r>
        <w:rPr>
          <w:rFonts w:ascii="Times New Roman" w:hAnsi="Times New Roman"/>
          <w:b/>
          <w:sz w:val="22"/>
          <w:szCs w:val="22"/>
        </w:rPr>
        <w:t>do projektu uchwały w sprawie wyrażenia woli przystąpienia do procedury zmiany granic administracyjnych Miasta Olsztyna</w:t>
      </w:r>
    </w:p>
    <w:p w14:paraId="2FE4E5E1" w14:textId="77777777" w:rsidR="00E20CE9" w:rsidRDefault="004F06DD">
      <w:pPr>
        <w:spacing w:after="183"/>
        <w:jc w:val="both"/>
      </w:pPr>
      <w:r>
        <w:rPr>
          <w:rFonts w:ascii="Times New Roman" w:hAnsi="Times New Roman"/>
          <w:sz w:val="22"/>
          <w:szCs w:val="22"/>
        </w:rPr>
        <w:tab/>
        <w:t>Zgodnie z dokumentami strategicznymi Olsztyn jako miasto wojewódzkie musi pełnić przede wszystkim kluczowe funkcje gospodarcze, edukacyjne, kulturowe, medyczne i administracyjne. Konieczne jest zatem wzmacnianie pozycji Olsztyna zarówno w regionie jak i ponadregionalnie. Rozwój funkcji metropolitalnych, a tym samym podnoszenie rangi miasta i wzmacnianie jego stołecznego charakteru, wymaga między innymi rozbudowy instytucji świadczących usługi publiczne, w tym o zasięgu wojewódzkim. Pozwoliłoby to Olsztynowi umacniać swoją rolę jako silnego i dynamicznego ośrodka miejskiego, koncentrującego i przyciągającego usługi wyższego rzędu. Ich rozwój oddziaływałby również na gminy sąsiednie, stwarzając dodatkowe impulsy rozwojowe. Realizacja tego celu wymaga jednak odpowiednich terenów, zarówno pod inwestycje publiczne, jak i prywatne. W tak małym obszarowo mieście jak Olsztyn ich dostępność staje się coraz bardziej ograniczona.</w:t>
      </w:r>
    </w:p>
    <w:p w14:paraId="7B53A3C7" w14:textId="77777777" w:rsidR="00E20CE9" w:rsidRDefault="004F06DD">
      <w:pPr>
        <w:spacing w:after="183"/>
        <w:jc w:val="both"/>
        <w:rPr>
          <w:rFonts w:ascii="Times New Roman" w:hAnsi="Times New Roman"/>
          <w:sz w:val="22"/>
          <w:szCs w:val="22"/>
        </w:rPr>
      </w:pPr>
      <w:r>
        <w:rPr>
          <w:rFonts w:ascii="Times New Roman" w:hAnsi="Times New Roman"/>
          <w:sz w:val="22"/>
          <w:szCs w:val="22"/>
        </w:rPr>
        <w:tab/>
        <w:t xml:space="preserve">Od wielu lat na terenie Olsztyna obserwujemy proces </w:t>
      </w:r>
      <w:proofErr w:type="spellStart"/>
      <w:r>
        <w:rPr>
          <w:rFonts w:ascii="Times New Roman" w:hAnsi="Times New Roman"/>
          <w:sz w:val="22"/>
          <w:szCs w:val="22"/>
        </w:rPr>
        <w:t>suburbanizacji</w:t>
      </w:r>
      <w:proofErr w:type="spellEnd"/>
      <w:r>
        <w:rPr>
          <w:rFonts w:ascii="Times New Roman" w:hAnsi="Times New Roman"/>
          <w:sz w:val="22"/>
          <w:szCs w:val="22"/>
        </w:rPr>
        <w:t>, migracji ludności z miasta na tereny podmiejskie, leżące w bezpośrednim sąsiedztwie miasta, lecz poza jego granicami administracyjnymi przy jednoczesnym zachowaniu silnych relacji funkcjonalnych z ośrodkiem centralnym w takim zakresie jak praca, edukacja, usługi czy infrastruktura.</w:t>
      </w:r>
    </w:p>
    <w:p w14:paraId="52BF0E97" w14:textId="1D318917" w:rsidR="00E20CE9" w:rsidRDefault="004F06DD">
      <w:pPr>
        <w:spacing w:after="183"/>
        <w:jc w:val="both"/>
      </w:pPr>
      <w:r>
        <w:rPr>
          <w:rFonts w:ascii="Times New Roman" w:hAnsi="Times New Roman"/>
          <w:sz w:val="22"/>
          <w:szCs w:val="22"/>
        </w:rPr>
        <w:tab/>
      </w:r>
      <w:r w:rsidR="00195AC0">
        <w:rPr>
          <w:rFonts w:ascii="Times New Roman" w:hAnsi="Times New Roman"/>
          <w:sz w:val="22"/>
          <w:szCs w:val="22"/>
        </w:rPr>
        <w:t xml:space="preserve">Postępująca </w:t>
      </w:r>
      <w:proofErr w:type="spellStart"/>
      <w:r w:rsidR="00195AC0">
        <w:rPr>
          <w:rFonts w:ascii="Times New Roman" w:hAnsi="Times New Roman"/>
          <w:sz w:val="22"/>
          <w:szCs w:val="22"/>
        </w:rPr>
        <w:t>suburbanizacja</w:t>
      </w:r>
      <w:proofErr w:type="spellEnd"/>
      <w:r w:rsidR="00195AC0">
        <w:rPr>
          <w:rFonts w:ascii="Times New Roman" w:hAnsi="Times New Roman"/>
          <w:sz w:val="22"/>
          <w:szCs w:val="22"/>
        </w:rPr>
        <w:t xml:space="preserve"> wpływa również na krajobraz, który ulega przeobrażeniu</w:t>
      </w:r>
      <w:r>
        <w:rPr>
          <w:rFonts w:ascii="Times New Roman" w:hAnsi="Times New Roman"/>
          <w:sz w:val="22"/>
          <w:szCs w:val="22"/>
        </w:rPr>
        <w:t>. Tuż przy granicy Olsztyna powstają budynki wielorodzinne, tworząc osiedla charakterystyczne dla krajobrazu miejskiego. Niezauważalna jest już granica pomiędzy miastem a wsią. Wyraźnym przykładem tego typu zjawiska jest rozwój budownictwa wielorodzinnego</w:t>
      </w:r>
      <w:r>
        <w:rPr>
          <w:rFonts w:ascii="Times New Roman" w:hAnsi="Times New Roman"/>
          <w:color w:val="FF3333"/>
          <w:sz w:val="22"/>
          <w:szCs w:val="22"/>
        </w:rPr>
        <w:t xml:space="preserve"> </w:t>
      </w:r>
      <w:r>
        <w:rPr>
          <w:rFonts w:ascii="Times New Roman" w:hAnsi="Times New Roman"/>
          <w:sz w:val="22"/>
          <w:szCs w:val="22"/>
        </w:rPr>
        <w:t>w Gminie Stawiguda i Dywity. Ponadto na terenie gminy Dywity znajduje się część cmentarza komunalnego oraz główny parking cmentarza z pętlą autobusową, na terenie którego realizowane są w całości przez Gminę Olsztyn zadania własne w zakresie zakładania i</w:t>
      </w:r>
      <w:r w:rsidR="00195AC0">
        <w:rPr>
          <w:rFonts w:ascii="Times New Roman" w:hAnsi="Times New Roman"/>
          <w:sz w:val="22"/>
          <w:szCs w:val="22"/>
        </w:rPr>
        <w:t> </w:t>
      </w:r>
      <w:r>
        <w:rPr>
          <w:rFonts w:ascii="Times New Roman" w:hAnsi="Times New Roman"/>
          <w:sz w:val="22"/>
          <w:szCs w:val="22"/>
        </w:rPr>
        <w:t>utrzymywania cmentarzy. Obecna sytuacja nie sprzyja ich dogodnej realizacji.</w:t>
      </w:r>
    </w:p>
    <w:p w14:paraId="069F9618" w14:textId="77777777" w:rsidR="00E20CE9" w:rsidRDefault="004F06DD">
      <w:pPr>
        <w:spacing w:after="183"/>
        <w:jc w:val="both"/>
      </w:pPr>
      <w:r>
        <w:rPr>
          <w:rFonts w:ascii="Times New Roman" w:hAnsi="Times New Roman"/>
          <w:sz w:val="22"/>
          <w:szCs w:val="22"/>
        </w:rPr>
        <w:tab/>
        <w:t>Włączenie do miasta tych terenów stanowiłoby w praktyce jedynie urealnienie granic administracyjnych. Zapewniłoby to sprawniejsze zarządzanie rozwojem miasta a jednocześnie pozwoliłoby zahamować niekontrolowane rozlewanie się zabudowy i zapobiegałoby chaosowi przestrzennemu.</w:t>
      </w:r>
    </w:p>
    <w:p w14:paraId="334DC507" w14:textId="77777777" w:rsidR="00E20CE9" w:rsidRDefault="004F06DD">
      <w:pPr>
        <w:spacing w:after="183"/>
        <w:jc w:val="both"/>
      </w:pPr>
      <w:r>
        <w:rPr>
          <w:rFonts w:ascii="Times New Roman" w:hAnsi="Times New Roman"/>
          <w:sz w:val="22"/>
          <w:szCs w:val="22"/>
        </w:rPr>
        <w:tab/>
        <w:t>Racjonalne planowanie przestrzeni winno opierać się na rozpatrywaniu funkcji miasta jako całości. Dlatego też warto podkreślić, że także tereny rekreacyjne są bardzo ważne dla terenów zurbanizowanych. Sama zmiana granic nie może opierać się wyłącznie o tereny silnie zurbanizowane w oderwaniu od okolicznych terenów zieleni nieurządzonej, lasów, jezior, które stanowią miejsce wypoczynku mieszkańców w szczególności południowych osiedli Olsztyna oraz terenów podmiejskich bezpośrednio graniczących z miastem. Zatem podjęcie procedury poszerzenia granic miasta należałoby rozważyć w jego maksymalnym możliwym zakresie, tj. poprzez włączenie terenów z zabudową mieszkaniową, terenów inwestycyjnych oraz terenów wypoczynku i rekreacji przyległych do nich, co zapewni wpływ na ich kształtowanie i funkcjonowanie, bo dostęp do atrakcyjnych terenów wypoczynku to ważny element komfortu życia.</w:t>
      </w:r>
    </w:p>
    <w:p w14:paraId="498C5AC2" w14:textId="77777777" w:rsidR="00E20CE9" w:rsidRDefault="004F06DD">
      <w:pPr>
        <w:spacing w:after="183"/>
        <w:jc w:val="both"/>
      </w:pPr>
      <w:r>
        <w:rPr>
          <w:rFonts w:ascii="Times New Roman" w:hAnsi="Times New Roman"/>
          <w:sz w:val="22"/>
          <w:szCs w:val="22"/>
        </w:rPr>
        <w:tab/>
        <w:t>Włączenie w granice administracyjne Olsztyna większego obszaru, docelowo do granicy południowej obwodnicy miasta, pozwoli na kompleksowe podejście w kształtowaniu przestrzeni uwzględniające człowieka, środowisko i długofalowy rozwój.</w:t>
      </w:r>
    </w:p>
    <w:p w14:paraId="2882ADAD" w14:textId="77777777" w:rsidR="00E20CE9" w:rsidRDefault="004F06DD">
      <w:pPr>
        <w:spacing w:after="183"/>
        <w:jc w:val="both"/>
        <w:rPr>
          <w:rFonts w:ascii="Times New Roman" w:hAnsi="Times New Roman"/>
          <w:sz w:val="22"/>
          <w:szCs w:val="22"/>
        </w:rPr>
      </w:pPr>
      <w:r>
        <w:rPr>
          <w:rFonts w:ascii="Times New Roman" w:hAnsi="Times New Roman"/>
          <w:sz w:val="22"/>
          <w:szCs w:val="22"/>
        </w:rPr>
        <w:tab/>
        <w:t>Urealnienie granic do rzeczywistego obszaru funkcjonowania miasta nie jest celem samym w sobie. To narzędzie, które pozwoli lepiej planować rozwój całej aglomeracji, skuteczniej pozyskiwać środki na inwestycje i tworzyć jeszcze lepsze warunki do życia dla obecnych i przyszłych pokoleń.</w:t>
      </w:r>
    </w:p>
    <w:p w14:paraId="384DA096" w14:textId="77777777" w:rsidR="00E20CE9" w:rsidRDefault="004F06DD">
      <w:pPr>
        <w:jc w:val="both"/>
        <w:rPr>
          <w:rFonts w:ascii="Times New Roman" w:hAnsi="Times New Roman"/>
          <w:sz w:val="22"/>
          <w:szCs w:val="22"/>
        </w:rPr>
      </w:pPr>
      <w:r>
        <w:rPr>
          <w:rFonts w:ascii="Times New Roman" w:hAnsi="Times New Roman"/>
          <w:sz w:val="22"/>
          <w:szCs w:val="22"/>
        </w:rPr>
        <w:tab/>
        <w:t>Zgodnie z art. 18 ust. 1 w związku z art. 4 ust. 2 ustawy z dnia 8 marca 1990 r. o samorządzie gminnym (</w:t>
      </w:r>
      <w:proofErr w:type="spellStart"/>
      <w:r>
        <w:rPr>
          <w:rFonts w:ascii="Times New Roman" w:hAnsi="Times New Roman"/>
          <w:sz w:val="22"/>
          <w:szCs w:val="22"/>
        </w:rPr>
        <w:t>t.j</w:t>
      </w:r>
      <w:proofErr w:type="spellEnd"/>
      <w:r>
        <w:rPr>
          <w:rFonts w:ascii="Times New Roman" w:hAnsi="Times New Roman"/>
          <w:sz w:val="22"/>
          <w:szCs w:val="22"/>
        </w:rPr>
        <w:t>. Dz. U. z 2026 r. poz. 662), ustalenie oraz zmiana granic gmin następuje w drodze rozporządzenia Rady Ministrów również na wniosek zainteresowanej rady gminy.</w:t>
      </w:r>
    </w:p>
    <w:p w14:paraId="1516730F" w14:textId="77777777" w:rsidR="00E20CE9" w:rsidRDefault="004F06DD">
      <w:pPr>
        <w:widowControl w:val="0"/>
        <w:spacing w:before="171" w:after="411"/>
        <w:jc w:val="both"/>
      </w:pPr>
      <w:r>
        <w:rPr>
          <w:rFonts w:ascii="Times New Roman" w:hAnsi="Times New Roman"/>
          <w:sz w:val="22"/>
          <w:szCs w:val="22"/>
        </w:rPr>
        <w:tab/>
        <w:t>Mając powyższe na uwadze, podjęcie niniejszej uchwały jest uzasadnione.</w:t>
      </w:r>
    </w:p>
    <w:sectPr w:rsidR="00E20CE9">
      <w:pgSz w:w="11906" w:h="16838"/>
      <w:pgMar w:top="1134" w:right="1134"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00"/>
    <w:family w:val="roman"/>
    <w:notTrueType/>
    <w:pitch w:val="default"/>
  </w:font>
  <w:font w:name="Lucida Sans">
    <w:panose1 w:val="020B0602030504020204"/>
    <w:charset w:val="00"/>
    <w:family w:val="roman"/>
    <w:notTrueType/>
    <w:pitch w:val="default"/>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00"/>
    <w:family w:val="roman"/>
    <w:notTrueType/>
    <w:pitch w:val="default"/>
  </w:font>
  <w:font w:name="Mangal">
    <w:panose1 w:val="02040503050203030202"/>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358A"/>
    <w:multiLevelType w:val="multilevel"/>
    <w:tmpl w:val="5FD62D3A"/>
    <w:lvl w:ilvl="0">
      <w:start w:val="1"/>
      <w:numFmt w:val="none"/>
      <w:suff w:val="nothing"/>
      <w:lvlText w:val="%1"/>
      <w:lvlJc w:val="left"/>
      <w:pPr>
        <w:tabs>
          <w:tab w:val="num" w:pos="0"/>
        </w:tabs>
        <w:ind w:left="0" w:firstLine="0"/>
      </w:pPr>
    </w:lvl>
    <w:lvl w:ilvl="1">
      <w:start w:val="1"/>
      <w:numFmt w:val="none"/>
      <w:pStyle w:val="Nagwek2user"/>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F280867"/>
    <w:multiLevelType w:val="multilevel"/>
    <w:tmpl w:val="04B02B44"/>
    <w:lvl w:ilvl="0">
      <w:start w:val="1"/>
      <w:numFmt w:val="none"/>
      <w:pStyle w:val="Nagwek2"/>
      <w:suff w:val="nothing"/>
      <w:lvlText w:val="%1"/>
      <w:lvlJc w:val="left"/>
      <w:pPr>
        <w:tabs>
          <w:tab w:val="num" w:pos="0"/>
        </w:tabs>
        <w:ind w:left="0" w:firstLine="0"/>
      </w:pPr>
      <w:rPr>
        <w:rFonts w:cs="Times New Roman"/>
      </w:rPr>
    </w:lvl>
    <w:lvl w:ilvl="1">
      <w:start w:val="1"/>
      <w:numFmt w:val="none"/>
      <w:suff w:val="nothing"/>
      <w:lvlText w:val="%2"/>
      <w:lvlJc w:val="left"/>
      <w:pPr>
        <w:tabs>
          <w:tab w:val="num" w:pos="0"/>
        </w:tabs>
        <w:ind w:left="0" w:firstLine="0"/>
      </w:pPr>
      <w:rPr>
        <w:rFonts w:cs="Times New Roman"/>
      </w:rPr>
    </w:lvl>
    <w:lvl w:ilvl="2">
      <w:start w:val="1"/>
      <w:numFmt w:val="none"/>
      <w:suff w:val="nothing"/>
      <w:lvlText w:val="%3"/>
      <w:lvlJc w:val="left"/>
      <w:pPr>
        <w:tabs>
          <w:tab w:val="num" w:pos="0"/>
        </w:tabs>
        <w:ind w:left="0" w:firstLine="0"/>
      </w:pPr>
      <w:rPr>
        <w:rFonts w:cs="Times New Roman"/>
      </w:rPr>
    </w:lvl>
    <w:lvl w:ilvl="3">
      <w:start w:val="1"/>
      <w:numFmt w:val="none"/>
      <w:suff w:val="nothing"/>
      <w:lvlText w:val="%4"/>
      <w:lvlJc w:val="left"/>
      <w:pPr>
        <w:tabs>
          <w:tab w:val="num" w:pos="0"/>
        </w:tabs>
        <w:ind w:left="0" w:firstLine="0"/>
      </w:pPr>
      <w:rPr>
        <w:rFonts w:cs="Times New Roman"/>
      </w:rPr>
    </w:lvl>
    <w:lvl w:ilvl="4">
      <w:start w:val="1"/>
      <w:numFmt w:val="none"/>
      <w:suff w:val="nothing"/>
      <w:lvlText w:val="%5"/>
      <w:lvlJc w:val="left"/>
      <w:pPr>
        <w:tabs>
          <w:tab w:val="num" w:pos="0"/>
        </w:tabs>
        <w:ind w:left="0" w:firstLine="0"/>
      </w:pPr>
      <w:rPr>
        <w:rFonts w:cs="Times New Roman"/>
      </w:rPr>
    </w:lvl>
    <w:lvl w:ilvl="5">
      <w:start w:val="1"/>
      <w:numFmt w:val="none"/>
      <w:suff w:val="nothing"/>
      <w:lvlText w:val="%6"/>
      <w:lvlJc w:val="left"/>
      <w:pPr>
        <w:tabs>
          <w:tab w:val="num" w:pos="0"/>
        </w:tabs>
        <w:ind w:left="0" w:firstLine="0"/>
      </w:pPr>
      <w:rPr>
        <w:rFonts w:cs="Times New Roman"/>
      </w:rPr>
    </w:lvl>
    <w:lvl w:ilvl="6">
      <w:start w:val="1"/>
      <w:numFmt w:val="none"/>
      <w:suff w:val="nothing"/>
      <w:lvlText w:val="%7"/>
      <w:lvlJc w:val="left"/>
      <w:pPr>
        <w:tabs>
          <w:tab w:val="num" w:pos="0"/>
        </w:tabs>
        <w:ind w:left="0" w:firstLine="0"/>
      </w:pPr>
      <w:rPr>
        <w:rFonts w:cs="Times New Roman"/>
      </w:rPr>
    </w:lvl>
    <w:lvl w:ilvl="7">
      <w:start w:val="1"/>
      <w:numFmt w:val="none"/>
      <w:suff w:val="nothing"/>
      <w:lvlText w:val="%8"/>
      <w:lvlJc w:val="left"/>
      <w:pPr>
        <w:tabs>
          <w:tab w:val="num" w:pos="0"/>
        </w:tabs>
        <w:ind w:left="0" w:firstLine="0"/>
      </w:pPr>
      <w:rPr>
        <w:rFonts w:cs="Times New Roman"/>
      </w:rPr>
    </w:lvl>
    <w:lvl w:ilvl="8">
      <w:start w:val="1"/>
      <w:numFmt w:val="none"/>
      <w:suff w:val="nothing"/>
      <w:lvlText w:val="%9"/>
      <w:lvlJc w:val="left"/>
      <w:pPr>
        <w:tabs>
          <w:tab w:val="num" w:pos="0"/>
        </w:tabs>
        <w:ind w:left="0" w:firstLine="0"/>
      </w:pPr>
      <w:rPr>
        <w:rFonts w:cs="Times New Roman"/>
      </w:rPr>
    </w:lvl>
  </w:abstractNum>
  <w:num w:numId="1" w16cid:durableId="559942654">
    <w:abstractNumId w:val="0"/>
  </w:num>
  <w:num w:numId="2" w16cid:durableId="1470317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0"/>
  <w:characterSpacingControl w:val="doNotCompress"/>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20CE9"/>
    <w:rsid w:val="00195AC0"/>
    <w:rsid w:val="002C2295"/>
    <w:rsid w:val="003322A6"/>
    <w:rsid w:val="004F06DD"/>
    <w:rsid w:val="00DD7A93"/>
    <w:rsid w:val="00E20C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03CC"/>
  <w15:docId w15:val="{C21223FE-5BF4-4814-9150-8F871E53E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agwek"/>
    <w:next w:val="Tekstpodstawowy"/>
    <w:uiPriority w:val="9"/>
    <w:semiHidden/>
    <w:unhideWhenUsed/>
    <w:qFormat/>
    <w:pPr>
      <w:numPr>
        <w:numId w:val="2"/>
      </w:numPr>
      <w:spacing w:before="200"/>
      <w:outlineLvl w:val="1"/>
    </w:pPr>
    <w:rPr>
      <w:b/>
      <w:bCs/>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qFormat/>
    <w:rPr>
      <w:rFonts w:cs="Times New Roman"/>
      <w:b/>
      <w:sz w:val="24"/>
      <w:lang w:val="pl-PL" w:eastAsia="zh-CN"/>
    </w:rPr>
  </w:style>
  <w:style w:type="character" w:customStyle="1" w:styleId="TekstpodstawowyZnak">
    <w:name w:val="Tekst podstawowy Znak"/>
    <w:basedOn w:val="Domylnaczcionkaakapitu"/>
    <w:qFormat/>
    <w:rPr>
      <w:rFonts w:cs="Times New Roman"/>
      <w:sz w:val="24"/>
      <w:lang w:val="pl-PL" w:eastAsia="zh-CN"/>
    </w:rPr>
  </w:style>
  <w:style w:type="character" w:styleId="Odwoaniedokomentarza">
    <w:name w:val="annotation reference"/>
    <w:basedOn w:val="Domylnaczcionkaakapitu"/>
    <w:qFormat/>
    <w:rPr>
      <w:sz w:val="16"/>
      <w:szCs w:val="16"/>
    </w:rPr>
  </w:style>
  <w:style w:type="paragraph" w:styleId="Nagwek">
    <w:name w:val="header"/>
    <w:basedOn w:val="Normalny"/>
    <w:next w:val="Tekstpodstawow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Nagwek2user">
    <w:name w:val="Nagłówek 2 (user)"/>
    <w:basedOn w:val="Nagwek"/>
    <w:next w:val="Tekstpodstawowy"/>
    <w:qFormat/>
    <w:pPr>
      <w:numPr>
        <w:ilvl w:val="1"/>
        <w:numId w:val="1"/>
      </w:numPr>
      <w:spacing w:before="200" w:after="0"/>
      <w:outlineLvl w:val="1"/>
    </w:pPr>
    <w:rPr>
      <w:b/>
      <w:bCs/>
      <w:sz w:val="32"/>
      <w:szCs w:val="32"/>
    </w:rPr>
  </w:style>
  <w:style w:type="paragraph" w:styleId="Tekstkomentarza">
    <w:name w:val="annotation text"/>
    <w:basedOn w:val="Normalny"/>
    <w:link w:val="TekstkomentarzaZnak"/>
    <w:uiPriority w:val="99"/>
    <w:semiHidden/>
    <w:unhideWhenUsed/>
    <w:rPr>
      <w:rFonts w:cs="Mangal"/>
      <w:sz w:val="20"/>
      <w:szCs w:val="18"/>
    </w:rPr>
  </w:style>
  <w:style w:type="character" w:customStyle="1" w:styleId="TekstkomentarzaZnak">
    <w:name w:val="Tekst komentarza Znak"/>
    <w:basedOn w:val="Domylnaczcionkaakapitu"/>
    <w:link w:val="Tekstkomentarza"/>
    <w:uiPriority w:val="99"/>
    <w:semiHidden/>
    <w:rPr>
      <w:rFont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588</Words>
  <Characters>3530</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Olga Robaczewska</cp:lastModifiedBy>
  <cp:revision>11</cp:revision>
  <cp:lastPrinted>2026-09-17T11:02:00Z</cp:lastPrinted>
  <dcterms:created xsi:type="dcterms:W3CDTF">2026-08-07T13:56:00Z</dcterms:created>
  <dcterms:modified xsi:type="dcterms:W3CDTF">2026-10-05T12:44:00Z</dcterms:modified>
  <dc:language>pl-PL</dc:language>
</cp:coreProperties>
</file>