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EB7DC" w14:textId="77777777" w:rsidR="005737C5" w:rsidRPr="00AA6410" w:rsidRDefault="005737C5" w:rsidP="00AA6410">
      <w:pPr>
        <w:jc w:val="center"/>
        <w:rPr>
          <w:rFonts w:ascii="Times New Roman" w:hAnsi="Times New Roman" w:cs="Times New Roman"/>
          <w:b/>
          <w:bCs/>
        </w:rPr>
      </w:pPr>
      <w:r w:rsidRPr="00AA6410">
        <w:rPr>
          <w:rFonts w:ascii="Times New Roman" w:hAnsi="Times New Roman" w:cs="Times New Roman"/>
          <w:b/>
          <w:bCs/>
        </w:rPr>
        <w:t>UZASADNIENIE</w:t>
      </w:r>
    </w:p>
    <w:p w14:paraId="6E905D9E" w14:textId="77777777" w:rsidR="005737C5" w:rsidRPr="005737C5" w:rsidRDefault="005737C5" w:rsidP="005737C5">
      <w:pPr>
        <w:jc w:val="both"/>
        <w:rPr>
          <w:rFonts w:ascii="Times New Roman" w:hAnsi="Times New Roman" w:cs="Times New Roman"/>
        </w:rPr>
      </w:pPr>
      <w:r w:rsidRPr="005737C5">
        <w:rPr>
          <w:rFonts w:ascii="Times New Roman" w:hAnsi="Times New Roman" w:cs="Times New Roman"/>
        </w:rPr>
        <w:t>Projekt przewiduje połączenie dwóch samodzielnych publicznych zakładów opieki zdrowotnej, dla których podmiotem tworzącym jest Gmina Olsztyn, przez przeniesienie całego mienia Przychodni Specjalistycznej w Olsztynie na Miejski Szpital Zespolony w Olsztynie. Jest to tryb określony w art. 66 ust. 1 pkt 1 ustawy o działalności leczniczej. Połączenie nastąpi bez postępowania likwidacyjnego, a Szpital, z dniem wykreślenia Przychodni z Krajowego Rejestru Sądowego, wstąpi we wszystkie jej stosunki prawne.</w:t>
      </w:r>
    </w:p>
    <w:p w14:paraId="336474F4" w14:textId="77777777" w:rsidR="005737C5" w:rsidRPr="005737C5" w:rsidRDefault="005737C5" w:rsidP="005737C5">
      <w:pPr>
        <w:jc w:val="both"/>
        <w:rPr>
          <w:rFonts w:ascii="Times New Roman" w:hAnsi="Times New Roman" w:cs="Times New Roman"/>
        </w:rPr>
      </w:pPr>
      <w:r w:rsidRPr="005737C5">
        <w:rPr>
          <w:rFonts w:ascii="Times New Roman" w:hAnsi="Times New Roman" w:cs="Times New Roman"/>
        </w:rPr>
        <w:t>Konsolidacja jest uzasadniona potrzebą zapewnienia stabilnego i efektywnego wykonywania zadań publicznych w ochronie zdrowia. Ujemne wyniki finansowe obu podmiotów wskazują na konieczność zmiany dotychczasowego modelu organizacyjnego, wzmocnienia kontroli kosztów oraz pełniejszego wykorzystania posiadanego potencjału. Połączenie pozwoli ograniczyć dublowanie funkcji administracyjnych, finansowych, kadrowych, zakupowych, technicznych i informatycznych, a także ujednolicić procesy zarządcze i sprawozdawcze.</w:t>
      </w:r>
    </w:p>
    <w:p w14:paraId="2FE7868A" w14:textId="77777777" w:rsidR="005737C5" w:rsidRPr="005737C5" w:rsidRDefault="005737C5" w:rsidP="005737C5">
      <w:pPr>
        <w:jc w:val="both"/>
        <w:rPr>
          <w:rFonts w:ascii="Times New Roman" w:hAnsi="Times New Roman" w:cs="Times New Roman"/>
        </w:rPr>
      </w:pPr>
      <w:r w:rsidRPr="005737C5">
        <w:rPr>
          <w:rFonts w:ascii="Times New Roman" w:hAnsi="Times New Roman" w:cs="Times New Roman"/>
        </w:rPr>
        <w:t>Z punktu widzenia pacjentów wspólna struktura stworzy warunki do lepszej koordynacji ambulatoryjnej opieki specjalistycznej, diagnostyki, leczenia szpitalnego i opieki poszpitalnej. Powinna usprawnić kierowanie pacjentów między poradniami i oddziałami, planowanie wykorzystania pracowni diagnostycznych oraz organizację ścieżek leczenia. Celem połączenia nie jest ograniczenie zakresu świadczeń, lecz zachowanie ich dostępności i ciągłości przy bardziej racjonalnym wykorzystaniu kadr, sprzętu, pomieszczeń i infrastruktury.</w:t>
      </w:r>
    </w:p>
    <w:p w14:paraId="60212410" w14:textId="77777777" w:rsidR="005737C5" w:rsidRPr="005737C5" w:rsidRDefault="005737C5" w:rsidP="005737C5">
      <w:pPr>
        <w:jc w:val="both"/>
        <w:rPr>
          <w:rFonts w:ascii="Times New Roman" w:hAnsi="Times New Roman" w:cs="Times New Roman"/>
        </w:rPr>
      </w:pPr>
      <w:r w:rsidRPr="005737C5">
        <w:rPr>
          <w:rFonts w:ascii="Times New Roman" w:hAnsi="Times New Roman" w:cs="Times New Roman"/>
        </w:rPr>
        <w:t>Jednolity podmiot będzie mógł prowadzić skoordynowaną politykę inwestycyjną i zakupową, wspólnie planować wykorzystanie aparatury medycznej oraz konsekwentnie rozwijać systemy jakości, bezpieczeństwa pacjenta, dokumentacji medycznej i cyberbezpieczeństwa. Większa skala działalności może również wzmocnić pozycję podmiotu w procesach kontraktowania świadczeń, zakupach oraz ubieganiu się o środki zewnętrzne.</w:t>
      </w:r>
    </w:p>
    <w:p w14:paraId="72716209" w14:textId="39FDA29A" w:rsidR="005737C5" w:rsidRPr="005737C5" w:rsidRDefault="005737C5" w:rsidP="005737C5">
      <w:pPr>
        <w:jc w:val="both"/>
        <w:rPr>
          <w:rFonts w:ascii="Times New Roman" w:hAnsi="Times New Roman" w:cs="Times New Roman"/>
        </w:rPr>
      </w:pPr>
      <w:r w:rsidRPr="005737C5">
        <w:rPr>
          <w:rFonts w:ascii="Times New Roman" w:hAnsi="Times New Roman" w:cs="Times New Roman"/>
        </w:rPr>
        <w:t xml:space="preserve">Dla Olsztyna i regionu konsolidacja oznacza wzmocnienie publicznej sieci świadczeń oraz stworzenie </w:t>
      </w:r>
      <w:r w:rsidR="00271556" w:rsidRPr="005737C5">
        <w:rPr>
          <w:rFonts w:ascii="Times New Roman" w:hAnsi="Times New Roman" w:cs="Times New Roman"/>
        </w:rPr>
        <w:t>organizacyjnych</w:t>
      </w:r>
      <w:r w:rsidRPr="005737C5">
        <w:rPr>
          <w:rFonts w:ascii="Times New Roman" w:hAnsi="Times New Roman" w:cs="Times New Roman"/>
        </w:rPr>
        <w:t xml:space="preserve"> podstaw do bardziej spójnego planowania opieki zdrowotnej. Skupienie odpowiedzialności zarządczej w jednym podmiocie ułatwi reagowanie na zmiany potrzeb zdrowotnych mieszkańców, niedobory kadrowe i rosnące koszty działalności, a także zwiększy przejrzystość rozliczania efektów podejmowanych działań.</w:t>
      </w:r>
    </w:p>
    <w:p w14:paraId="02CAE683" w14:textId="116298AE" w:rsidR="005737C5" w:rsidRPr="005737C5" w:rsidRDefault="005737C5" w:rsidP="005737C5">
      <w:pPr>
        <w:jc w:val="both"/>
        <w:rPr>
          <w:rFonts w:ascii="Times New Roman" w:hAnsi="Times New Roman" w:cs="Times New Roman"/>
        </w:rPr>
      </w:pPr>
      <w:r w:rsidRPr="005737C5">
        <w:rPr>
          <w:rFonts w:ascii="Times New Roman" w:hAnsi="Times New Roman" w:cs="Times New Roman"/>
        </w:rPr>
        <w:t>Uchwała określa zasady przejęcia mienia, należności i zobowiązań</w:t>
      </w:r>
      <w:r w:rsidR="00DD230A">
        <w:rPr>
          <w:rFonts w:ascii="Times New Roman" w:hAnsi="Times New Roman" w:cs="Times New Roman"/>
        </w:rPr>
        <w:t xml:space="preserve"> oraz</w:t>
      </w:r>
      <w:r w:rsidRPr="005737C5">
        <w:rPr>
          <w:rFonts w:ascii="Times New Roman" w:hAnsi="Times New Roman" w:cs="Times New Roman"/>
        </w:rPr>
        <w:t xml:space="preserve"> następstwo </w:t>
      </w:r>
      <w:r w:rsidR="00DD230A">
        <w:rPr>
          <w:rFonts w:ascii="Times New Roman" w:hAnsi="Times New Roman" w:cs="Times New Roman"/>
        </w:rPr>
        <w:br/>
      </w:r>
      <w:r w:rsidRPr="005737C5">
        <w:rPr>
          <w:rFonts w:ascii="Times New Roman" w:hAnsi="Times New Roman" w:cs="Times New Roman"/>
        </w:rPr>
        <w:t>w stosunkach prawnych. Termin złożenia wniosków rejestrowych ustalono na</w:t>
      </w:r>
      <w:r w:rsidR="009D49D9">
        <w:rPr>
          <w:rFonts w:ascii="Times New Roman" w:hAnsi="Times New Roman" w:cs="Times New Roman"/>
        </w:rPr>
        <w:t>:</w:t>
      </w:r>
      <w:r w:rsidRPr="005737C5">
        <w:rPr>
          <w:rFonts w:ascii="Times New Roman" w:hAnsi="Times New Roman" w:cs="Times New Roman"/>
        </w:rPr>
        <w:t xml:space="preserve"> </w:t>
      </w:r>
      <w:r w:rsidR="009D49D9">
        <w:rPr>
          <w:rFonts w:ascii="Times New Roman" w:hAnsi="Times New Roman" w:cs="Times New Roman"/>
        </w:rPr>
        <w:t>p</w:t>
      </w:r>
      <w:r w:rsidR="009D49D9" w:rsidRPr="00C76784">
        <w:rPr>
          <w:rFonts w:ascii="Times New Roman" w:hAnsi="Times New Roman" w:cs="Times New Roman"/>
        </w:rPr>
        <w:t xml:space="preserve">o upływie </w:t>
      </w:r>
      <w:r w:rsidR="00466C8A">
        <w:rPr>
          <w:rFonts w:ascii="Times New Roman" w:hAnsi="Times New Roman" w:cs="Times New Roman"/>
        </w:rPr>
        <w:t>pięciu</w:t>
      </w:r>
      <w:r w:rsidR="00EE229A">
        <w:rPr>
          <w:rFonts w:ascii="Times New Roman" w:hAnsi="Times New Roman" w:cs="Times New Roman"/>
        </w:rPr>
        <w:t xml:space="preserve"> </w:t>
      </w:r>
      <w:r w:rsidR="009D49D9" w:rsidRPr="00C76784">
        <w:rPr>
          <w:rFonts w:ascii="Times New Roman" w:hAnsi="Times New Roman" w:cs="Times New Roman"/>
        </w:rPr>
        <w:t xml:space="preserve">miesięcy od dnia </w:t>
      </w:r>
      <w:r w:rsidR="00025EE2">
        <w:rPr>
          <w:rFonts w:ascii="Times New Roman" w:hAnsi="Times New Roman" w:cs="Times New Roman"/>
        </w:rPr>
        <w:t>podjęcia</w:t>
      </w:r>
      <w:r w:rsidR="009D49D9" w:rsidRPr="00C76784">
        <w:rPr>
          <w:rFonts w:ascii="Times New Roman" w:hAnsi="Times New Roman" w:cs="Times New Roman"/>
        </w:rPr>
        <w:t xml:space="preserve"> </w:t>
      </w:r>
      <w:r w:rsidR="009D49D9">
        <w:rPr>
          <w:rFonts w:ascii="Times New Roman" w:hAnsi="Times New Roman" w:cs="Times New Roman"/>
        </w:rPr>
        <w:t>przedmiotowej</w:t>
      </w:r>
      <w:r w:rsidR="009D49D9" w:rsidRPr="00C76784">
        <w:rPr>
          <w:rFonts w:ascii="Times New Roman" w:hAnsi="Times New Roman" w:cs="Times New Roman"/>
        </w:rPr>
        <w:t xml:space="preserve"> uchwały, ale nie później niż do dnia </w:t>
      </w:r>
      <w:r w:rsidR="00EE229A">
        <w:rPr>
          <w:rFonts w:ascii="Times New Roman" w:hAnsi="Times New Roman" w:cs="Times New Roman"/>
        </w:rPr>
        <w:t>30 czerwca</w:t>
      </w:r>
      <w:r w:rsidR="00707063">
        <w:rPr>
          <w:rFonts w:ascii="Times New Roman" w:hAnsi="Times New Roman" w:cs="Times New Roman"/>
        </w:rPr>
        <w:t xml:space="preserve"> 2027 r.</w:t>
      </w:r>
      <w:r w:rsidRPr="005737C5">
        <w:rPr>
          <w:rFonts w:ascii="Times New Roman" w:hAnsi="Times New Roman" w:cs="Times New Roman"/>
        </w:rPr>
        <w:t xml:space="preserve"> Pozwala to przeprowadzić inwentaryzację, uzgodnić sprawy pracownicze, finansowe i kontraktowe, dostosować strukturę Szpitala oraz zapewnić nieprzerwane udzielanie świadczeń.</w:t>
      </w:r>
    </w:p>
    <w:p w14:paraId="211D735D" w14:textId="050B0EA0" w:rsidR="004F5635" w:rsidRPr="005737C5" w:rsidRDefault="005737C5" w:rsidP="005737C5">
      <w:pPr>
        <w:jc w:val="both"/>
        <w:rPr>
          <w:rFonts w:ascii="Times New Roman" w:hAnsi="Times New Roman" w:cs="Times New Roman"/>
        </w:rPr>
      </w:pPr>
      <w:r w:rsidRPr="005737C5">
        <w:rPr>
          <w:rFonts w:ascii="Times New Roman" w:hAnsi="Times New Roman" w:cs="Times New Roman"/>
        </w:rPr>
        <w:t>Przyjęcie uchwały jest zatem zasadne z uwagi na potrzebę stabilizacji ekonomicznej obu placówek, poprawę efektywności wykorzystania zasobów oraz zapewnienie pacjentom lepiej skoordynowanej i trwałej organizacyjnie opieki zdrowotnej.</w:t>
      </w:r>
    </w:p>
    <w:sectPr w:rsidR="004F5635" w:rsidRPr="005737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B1415"/>
    <w:multiLevelType w:val="multilevel"/>
    <w:tmpl w:val="4D0C19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0B5C74"/>
    <w:multiLevelType w:val="multilevel"/>
    <w:tmpl w:val="7DD49EA6"/>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165C9F"/>
    <w:multiLevelType w:val="multilevel"/>
    <w:tmpl w:val="EE802C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C83432"/>
    <w:multiLevelType w:val="multilevel"/>
    <w:tmpl w:val="9BB28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D24803"/>
    <w:multiLevelType w:val="hybridMultilevel"/>
    <w:tmpl w:val="16D8C07A"/>
    <w:lvl w:ilvl="0" w:tplc="6BC4A03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D9F6183"/>
    <w:multiLevelType w:val="hybridMultilevel"/>
    <w:tmpl w:val="E2940BBE"/>
    <w:lvl w:ilvl="0" w:tplc="245E89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A747D80"/>
    <w:multiLevelType w:val="multilevel"/>
    <w:tmpl w:val="5462A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7008139">
    <w:abstractNumId w:val="1"/>
  </w:num>
  <w:num w:numId="2" w16cid:durableId="1741949993">
    <w:abstractNumId w:val="0"/>
  </w:num>
  <w:num w:numId="3" w16cid:durableId="1030767675">
    <w:abstractNumId w:val="2"/>
  </w:num>
  <w:num w:numId="4" w16cid:durableId="1673098988">
    <w:abstractNumId w:val="3"/>
  </w:num>
  <w:num w:numId="5" w16cid:durableId="710227707">
    <w:abstractNumId w:val="6"/>
  </w:num>
  <w:num w:numId="6" w16cid:durableId="1821264511">
    <w:abstractNumId w:val="4"/>
  </w:num>
  <w:num w:numId="7" w16cid:durableId="242137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35"/>
    <w:rsid w:val="00025EE2"/>
    <w:rsid w:val="00070C3E"/>
    <w:rsid w:val="000D731F"/>
    <w:rsid w:val="000F480B"/>
    <w:rsid w:val="00203B9A"/>
    <w:rsid w:val="0023017B"/>
    <w:rsid w:val="00271556"/>
    <w:rsid w:val="002E12BA"/>
    <w:rsid w:val="00303457"/>
    <w:rsid w:val="00350C23"/>
    <w:rsid w:val="004612D5"/>
    <w:rsid w:val="00466C8A"/>
    <w:rsid w:val="004777DF"/>
    <w:rsid w:val="004F1996"/>
    <w:rsid w:val="004F5635"/>
    <w:rsid w:val="005737C5"/>
    <w:rsid w:val="0057480E"/>
    <w:rsid w:val="00586354"/>
    <w:rsid w:val="00591B89"/>
    <w:rsid w:val="00594D40"/>
    <w:rsid w:val="005E455F"/>
    <w:rsid w:val="005F300B"/>
    <w:rsid w:val="00691765"/>
    <w:rsid w:val="00707063"/>
    <w:rsid w:val="00710240"/>
    <w:rsid w:val="007937C5"/>
    <w:rsid w:val="007B1EBB"/>
    <w:rsid w:val="007B7A98"/>
    <w:rsid w:val="008366CF"/>
    <w:rsid w:val="00867F4C"/>
    <w:rsid w:val="00894616"/>
    <w:rsid w:val="00915B19"/>
    <w:rsid w:val="00955FD5"/>
    <w:rsid w:val="009B40A1"/>
    <w:rsid w:val="009C3BE6"/>
    <w:rsid w:val="009D49D9"/>
    <w:rsid w:val="009F2611"/>
    <w:rsid w:val="009F5AA5"/>
    <w:rsid w:val="00AA6410"/>
    <w:rsid w:val="00AB2E0C"/>
    <w:rsid w:val="00B43FC6"/>
    <w:rsid w:val="00BB06A9"/>
    <w:rsid w:val="00BC7EDB"/>
    <w:rsid w:val="00BF6DB7"/>
    <w:rsid w:val="00C65CF3"/>
    <w:rsid w:val="00C739AA"/>
    <w:rsid w:val="00C76784"/>
    <w:rsid w:val="00DA1A9F"/>
    <w:rsid w:val="00DD230A"/>
    <w:rsid w:val="00DD5819"/>
    <w:rsid w:val="00E60D4D"/>
    <w:rsid w:val="00E6283F"/>
    <w:rsid w:val="00EE229A"/>
    <w:rsid w:val="00F13BDD"/>
    <w:rsid w:val="00F35C0E"/>
    <w:rsid w:val="00F419D1"/>
    <w:rsid w:val="00F82B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0E38"/>
  <w15:chartTrackingRefBased/>
  <w15:docId w15:val="{2B5E4EC6-EE1C-4B7E-BD6E-B9B3E058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F5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F5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F563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F563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F563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F563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563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563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563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563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F563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F563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563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563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563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563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563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5635"/>
    <w:rPr>
      <w:rFonts w:eastAsiaTheme="majorEastAsia" w:cstheme="majorBidi"/>
      <w:color w:val="272727" w:themeColor="text1" w:themeTint="D8"/>
    </w:rPr>
  </w:style>
  <w:style w:type="paragraph" w:styleId="Tytu">
    <w:name w:val="Title"/>
    <w:basedOn w:val="Normalny"/>
    <w:next w:val="Normalny"/>
    <w:link w:val="TytuZnak"/>
    <w:uiPriority w:val="10"/>
    <w:qFormat/>
    <w:rsid w:val="004F5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563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563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563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5635"/>
    <w:pPr>
      <w:spacing w:before="160"/>
      <w:jc w:val="center"/>
    </w:pPr>
    <w:rPr>
      <w:i/>
      <w:iCs/>
      <w:color w:val="404040" w:themeColor="text1" w:themeTint="BF"/>
    </w:rPr>
  </w:style>
  <w:style w:type="character" w:customStyle="1" w:styleId="CytatZnak">
    <w:name w:val="Cytat Znak"/>
    <w:basedOn w:val="Domylnaczcionkaakapitu"/>
    <w:link w:val="Cytat"/>
    <w:uiPriority w:val="29"/>
    <w:rsid w:val="004F5635"/>
    <w:rPr>
      <w:i/>
      <w:iCs/>
      <w:color w:val="404040" w:themeColor="text1" w:themeTint="BF"/>
    </w:rPr>
  </w:style>
  <w:style w:type="paragraph" w:styleId="Akapitzlist">
    <w:name w:val="List Paragraph"/>
    <w:basedOn w:val="Normalny"/>
    <w:uiPriority w:val="34"/>
    <w:qFormat/>
    <w:rsid w:val="004F5635"/>
    <w:pPr>
      <w:ind w:left="720"/>
      <w:contextualSpacing/>
    </w:pPr>
  </w:style>
  <w:style w:type="character" w:styleId="Wyrnienieintensywne">
    <w:name w:val="Intense Emphasis"/>
    <w:basedOn w:val="Domylnaczcionkaakapitu"/>
    <w:uiPriority w:val="21"/>
    <w:qFormat/>
    <w:rsid w:val="004F5635"/>
    <w:rPr>
      <w:i/>
      <w:iCs/>
      <w:color w:val="0F4761" w:themeColor="accent1" w:themeShade="BF"/>
    </w:rPr>
  </w:style>
  <w:style w:type="paragraph" w:styleId="Cytatintensywny">
    <w:name w:val="Intense Quote"/>
    <w:basedOn w:val="Normalny"/>
    <w:next w:val="Normalny"/>
    <w:link w:val="CytatintensywnyZnak"/>
    <w:uiPriority w:val="30"/>
    <w:qFormat/>
    <w:rsid w:val="004F5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F5635"/>
    <w:rPr>
      <w:i/>
      <w:iCs/>
      <w:color w:val="0F4761" w:themeColor="accent1" w:themeShade="BF"/>
    </w:rPr>
  </w:style>
  <w:style w:type="character" w:styleId="Odwoanieintensywne">
    <w:name w:val="Intense Reference"/>
    <w:basedOn w:val="Domylnaczcionkaakapitu"/>
    <w:uiPriority w:val="32"/>
    <w:qFormat/>
    <w:rsid w:val="004F56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436</Words>
  <Characters>2619</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Bartłomiej Korolczuk</dc:creator>
  <cp:keywords/>
  <dc:description/>
  <cp:lastModifiedBy>Dominika Klimkowska</cp:lastModifiedBy>
  <cp:revision>5</cp:revision>
  <dcterms:created xsi:type="dcterms:W3CDTF">2026-10-09T12:06:00Z</dcterms:created>
  <dcterms:modified xsi:type="dcterms:W3CDTF">2026-10-15T06:25:00Z</dcterms:modified>
</cp:coreProperties>
</file>