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971BA84" w14:textId="77777777" w:rsidR="00000000" w:rsidRDefault="00000000">
      <w:pPr>
        <w:pStyle w:val="BodyText23"/>
        <w:tabs>
          <w:tab w:val="left" w:pos="4655"/>
          <w:tab w:val="left" w:pos="4686"/>
        </w:tabs>
        <w:spacing w:after="0"/>
        <w:ind w:right="6"/>
        <w:rPr>
          <w:rFonts w:ascii="Arial" w:hAnsi="Arial"/>
          <w:szCs w:val="24"/>
        </w:rPr>
      </w:pPr>
      <w:r>
        <w:rPr>
          <w:rFonts w:ascii="Arial" w:hAnsi="Arial"/>
          <w:szCs w:val="24"/>
        </w:rPr>
        <w:t>Olsztyn, dnia 31.07.2026 r.</w:t>
      </w:r>
    </w:p>
    <w:p w14:paraId="19AC2DD3" w14:textId="77777777" w:rsidR="00B602E5" w:rsidRDefault="00B602E5">
      <w:pPr>
        <w:pStyle w:val="BodyText23"/>
        <w:tabs>
          <w:tab w:val="left" w:pos="4655"/>
          <w:tab w:val="left" w:pos="4686"/>
        </w:tabs>
        <w:spacing w:after="0"/>
        <w:ind w:right="6"/>
      </w:pPr>
    </w:p>
    <w:p w14:paraId="1B0D5596" w14:textId="77777777" w:rsidR="00000000" w:rsidRDefault="00000000">
      <w:pPr>
        <w:pStyle w:val="BodyText23"/>
        <w:tabs>
          <w:tab w:val="left" w:pos="4655"/>
          <w:tab w:val="left" w:pos="4686"/>
        </w:tabs>
        <w:spacing w:after="0"/>
        <w:ind w:right="6"/>
      </w:pPr>
      <w:r>
        <w:rPr>
          <w:rFonts w:ascii="Arial" w:hAnsi="Arial"/>
          <w:szCs w:val="24"/>
        </w:rPr>
        <w:t>UA.6740.474.2025</w:t>
      </w:r>
    </w:p>
    <w:p w14:paraId="69992A3D" w14:textId="77777777" w:rsidR="00000000" w:rsidRPr="00B602E5" w:rsidRDefault="00000000">
      <w:pPr>
        <w:tabs>
          <w:tab w:val="left" w:pos="4655"/>
          <w:tab w:val="left" w:pos="4686"/>
        </w:tabs>
        <w:ind w:right="6"/>
      </w:pPr>
      <w:bookmarkStart w:id="0" w:name="P610_NUMER"/>
      <w:bookmarkEnd w:id="0"/>
      <w:r w:rsidRPr="00B602E5">
        <w:rPr>
          <w:rFonts w:ascii="Arial" w:hAnsi="Arial"/>
        </w:rPr>
        <w:t>178118.07.2026-W</w:t>
      </w:r>
    </w:p>
    <w:p w14:paraId="33F662B1" w14:textId="77777777" w:rsidR="00000000" w:rsidRDefault="00000000">
      <w:pPr>
        <w:tabs>
          <w:tab w:val="left" w:pos="4655"/>
          <w:tab w:val="left" w:pos="4686"/>
        </w:tabs>
        <w:ind w:right="6"/>
        <w:rPr>
          <w:rFonts w:ascii="Arial" w:hAnsi="Arial"/>
        </w:rPr>
      </w:pPr>
    </w:p>
    <w:p w14:paraId="0E34F5CC" w14:textId="77777777" w:rsidR="00000000" w:rsidRDefault="00000000">
      <w:pPr>
        <w:pStyle w:val="Nagwek1"/>
      </w:pPr>
      <w:r>
        <w:rPr>
          <w:rFonts w:ascii="Arial" w:hAnsi="Arial" w:cs="Times New Roman"/>
          <w:sz w:val="24"/>
          <w:szCs w:val="24"/>
        </w:rPr>
        <w:t>DECYZJA Nr II - 226/2026</w:t>
      </w:r>
    </w:p>
    <w:p w14:paraId="7301897A" w14:textId="77777777" w:rsidR="00000000" w:rsidRDefault="00000000">
      <w:pPr>
        <w:tabs>
          <w:tab w:val="left" w:pos="567"/>
        </w:tabs>
      </w:pPr>
      <w:r>
        <w:rPr>
          <w:rFonts w:ascii="Arial" w:hAnsi="Arial"/>
        </w:rPr>
        <w:t>Na podstawie art. 28, art. 33 ust. 1, art. 34 ust. 4 i art. 36, ustawy z dnia 7 lipca 1994 r. - Prawo budowlane (</w:t>
      </w:r>
      <w:r>
        <w:rPr>
          <w:rFonts w:ascii="Arial" w:hAnsi="Arial"/>
          <w:color w:val="000000"/>
        </w:rPr>
        <w:t xml:space="preserve">Dz.U. z 2026 r., poz. 524 </w:t>
      </w:r>
      <w:proofErr w:type="spellStart"/>
      <w:r>
        <w:rPr>
          <w:rFonts w:ascii="Arial" w:hAnsi="Arial"/>
          <w:color w:val="000000"/>
        </w:rPr>
        <w:t>t.j</w:t>
      </w:r>
      <w:proofErr w:type="spellEnd"/>
      <w:r>
        <w:rPr>
          <w:rFonts w:ascii="Arial" w:hAnsi="Arial"/>
          <w:color w:val="000000"/>
        </w:rPr>
        <w:t>.</w:t>
      </w:r>
      <w:r>
        <w:rPr>
          <w:rFonts w:ascii="Arial" w:hAnsi="Arial"/>
        </w:rPr>
        <w:t>), oraz na podstawie art. 104 ustawy z dnia 14 czerwca 1960 r. - Kodeks postępowania administracyjnego (</w:t>
      </w:r>
      <w:r>
        <w:rPr>
          <w:rFonts w:ascii="Arial" w:hAnsi="Arial"/>
          <w:color w:val="000000"/>
        </w:rPr>
        <w:t xml:space="preserve">Dz.U. z 2025 r. Poz. 1691 </w:t>
      </w:r>
      <w:proofErr w:type="spellStart"/>
      <w:r>
        <w:rPr>
          <w:rFonts w:ascii="Arial" w:hAnsi="Arial"/>
          <w:color w:val="000000"/>
        </w:rPr>
        <w:t>t.j</w:t>
      </w:r>
      <w:proofErr w:type="spellEnd"/>
      <w:r>
        <w:rPr>
          <w:rFonts w:ascii="Arial" w:hAnsi="Arial"/>
          <w:color w:val="000000"/>
        </w:rPr>
        <w:t>.</w:t>
      </w:r>
      <w:r>
        <w:rPr>
          <w:rFonts w:ascii="Arial" w:hAnsi="Arial"/>
        </w:rPr>
        <w:t>), po rozpatrzeniu wniosku o pozwolenie na budowę z dnia 11</w:t>
      </w:r>
      <w:r>
        <w:rPr>
          <w:rStyle w:val="displayonly"/>
          <w:rFonts w:ascii="Arial" w:hAnsi="Arial"/>
          <w:color w:val="000000"/>
          <w:kern w:val="2"/>
        </w:rPr>
        <w:t>.12.2025 r.</w:t>
      </w:r>
      <w:r>
        <w:rPr>
          <w:rFonts w:ascii="Arial" w:hAnsi="Arial"/>
        </w:rPr>
        <w:t xml:space="preserve"> (l.dz. 3211/2025) Inwestora Iławskiego Przedsiębiorstwa Budowlanego „IPB” Sp. z o. o.,</w:t>
      </w:r>
    </w:p>
    <w:p w14:paraId="1D04128C" w14:textId="77777777" w:rsidR="00000000" w:rsidRDefault="00000000">
      <w:pPr>
        <w:tabs>
          <w:tab w:val="left" w:pos="567"/>
        </w:tabs>
        <w:rPr>
          <w:rFonts w:ascii="Arial" w:hAnsi="Arial"/>
        </w:rPr>
      </w:pPr>
    </w:p>
    <w:p w14:paraId="404836D6" w14:textId="77777777" w:rsidR="00000000" w:rsidRDefault="00000000">
      <w:pPr>
        <w:tabs>
          <w:tab w:val="left" w:pos="4664"/>
          <w:tab w:val="left" w:pos="4697"/>
        </w:tabs>
      </w:pPr>
      <w:r>
        <w:rPr>
          <w:rFonts w:ascii="Arial" w:hAnsi="Arial"/>
          <w:b/>
          <w:bCs/>
        </w:rPr>
        <w:t>zatwierdzam projekt zagospodarowania terenu i projekt architektoniczno-budowlany</w:t>
      </w:r>
    </w:p>
    <w:p w14:paraId="2D6C8F81" w14:textId="77777777" w:rsidR="00000000" w:rsidRDefault="00000000">
      <w:pPr>
        <w:tabs>
          <w:tab w:val="left" w:pos="4664"/>
          <w:tab w:val="left" w:pos="4697"/>
        </w:tabs>
      </w:pPr>
      <w:r>
        <w:rPr>
          <w:rFonts w:ascii="Arial" w:hAnsi="Arial"/>
          <w:b/>
          <w:bCs/>
        </w:rPr>
        <w:t>i udzielam pozwolenia na budowę</w:t>
      </w:r>
    </w:p>
    <w:p w14:paraId="38CA0096" w14:textId="77777777" w:rsidR="00000000" w:rsidRDefault="00000000">
      <w:pPr>
        <w:tabs>
          <w:tab w:val="left" w:pos="4686"/>
        </w:tabs>
      </w:pPr>
      <w:r>
        <w:rPr>
          <w:rFonts w:ascii="Arial" w:hAnsi="Arial"/>
          <w:spacing w:val="-1"/>
        </w:rPr>
        <w:t>dla:</w:t>
      </w:r>
    </w:p>
    <w:p w14:paraId="3885413A" w14:textId="77777777" w:rsidR="00000000" w:rsidRDefault="00000000">
      <w:r>
        <w:rPr>
          <w:rFonts w:ascii="Arial" w:hAnsi="Arial"/>
          <w:b/>
          <w:bCs/>
          <w:lang w:eastAsia="pl-PL"/>
        </w:rPr>
        <w:t>Iławskie Przedsiębiorstwo Budowlane „IPB” Sp. z o. o.</w:t>
      </w:r>
    </w:p>
    <w:p w14:paraId="6B241387" w14:textId="77777777" w:rsidR="00000000" w:rsidRDefault="00000000">
      <w:r>
        <w:rPr>
          <w:rStyle w:val="displayonly"/>
          <w:rFonts w:ascii="Arial" w:hAnsi="Arial"/>
          <w:b/>
          <w:bCs/>
          <w:color w:val="000000"/>
          <w:lang w:eastAsia="pl-PL"/>
        </w:rPr>
        <w:t>ul. Lubawska 3</w:t>
      </w:r>
      <w:r>
        <w:rPr>
          <w:rStyle w:val="displayonly"/>
          <w:rFonts w:ascii="Arial" w:hAnsi="Arial"/>
          <w:b/>
          <w:bCs/>
          <w:lang w:eastAsia="pl-PL"/>
        </w:rPr>
        <w:t xml:space="preserve">, </w:t>
      </w:r>
      <w:r>
        <w:rPr>
          <w:rStyle w:val="displayonly"/>
          <w:rFonts w:ascii="Arial" w:hAnsi="Arial"/>
          <w:b/>
          <w:bCs/>
          <w:color w:val="000000"/>
          <w:lang w:eastAsia="pl-PL"/>
        </w:rPr>
        <w:t>14-200 Iława</w:t>
      </w:r>
      <w:r>
        <w:rPr>
          <w:rFonts w:ascii="Arial" w:hAnsi="Arial"/>
          <w:b/>
          <w:bCs/>
        </w:rPr>
        <w:t>,</w:t>
      </w:r>
    </w:p>
    <w:p w14:paraId="620E0A7E" w14:textId="77777777" w:rsidR="00000000" w:rsidRDefault="00000000">
      <w:pPr>
        <w:tabs>
          <w:tab w:val="left" w:pos="4678"/>
        </w:tabs>
        <w:rPr>
          <w:rFonts w:ascii="Arial" w:hAnsi="Arial"/>
        </w:rPr>
      </w:pPr>
    </w:p>
    <w:p w14:paraId="4FB565B4" w14:textId="77777777" w:rsidR="00000000" w:rsidRDefault="00000000">
      <w:pPr>
        <w:tabs>
          <w:tab w:val="left" w:pos="6420"/>
        </w:tabs>
      </w:pPr>
      <w:r>
        <w:rPr>
          <w:rFonts w:ascii="Arial" w:hAnsi="Arial"/>
          <w:spacing w:val="-1"/>
        </w:rPr>
        <w:t>obejmujące:</w:t>
      </w:r>
    </w:p>
    <w:p w14:paraId="7D0B93BD" w14:textId="77777777" w:rsidR="00000000" w:rsidRDefault="00000000">
      <w:pPr>
        <w:autoSpaceDE w:val="0"/>
      </w:pPr>
      <w:r>
        <w:rPr>
          <w:rStyle w:val="displayonly"/>
          <w:rFonts w:ascii="Arial" w:hAnsi="Arial"/>
          <w:b/>
          <w:bCs/>
          <w:color w:val="000000"/>
          <w:kern w:val="2"/>
          <w:lang w:eastAsia="pl-PL"/>
        </w:rPr>
        <w:t xml:space="preserve">budowę dwóch budynków mieszkalnych wielorodzinnych B3 i B4 z garażami podziemnymi wraz z infrastrukturą techniczną i zagospodarowaniem terenu przy ulicy Zamenhofa </w:t>
      </w:r>
      <w:r>
        <w:rPr>
          <w:rStyle w:val="displayonly"/>
          <w:rFonts w:ascii="Arial" w:hAnsi="Arial"/>
          <w:b/>
          <w:bCs/>
          <w:color w:val="000000"/>
          <w:kern w:val="2"/>
          <w:lang w:eastAsia="pl-PL"/>
        </w:rPr>
        <w:br/>
        <w:t xml:space="preserve">w Olsztynie, na działkach nr 177, 27/2, 27/3, </w:t>
      </w:r>
      <w:proofErr w:type="spellStart"/>
      <w:r>
        <w:rPr>
          <w:rStyle w:val="displayonly"/>
          <w:rFonts w:ascii="Arial" w:hAnsi="Arial"/>
          <w:b/>
          <w:bCs/>
          <w:color w:val="000000"/>
          <w:kern w:val="2"/>
          <w:lang w:eastAsia="pl-PL"/>
        </w:rPr>
        <w:t>obr</w:t>
      </w:r>
      <w:proofErr w:type="spellEnd"/>
      <w:r>
        <w:rPr>
          <w:rStyle w:val="displayonly"/>
          <w:rFonts w:ascii="Arial" w:hAnsi="Arial"/>
          <w:b/>
          <w:bCs/>
          <w:color w:val="000000"/>
          <w:kern w:val="2"/>
          <w:lang w:eastAsia="pl-PL"/>
        </w:rPr>
        <w:t>. 16 Olsztyn, woj. warmińsko-mazurskie.</w:t>
      </w:r>
    </w:p>
    <w:p w14:paraId="402FA256" w14:textId="77777777" w:rsidR="00000000" w:rsidRDefault="00000000">
      <w:pPr>
        <w:suppressAutoHyphens w:val="0"/>
        <w:autoSpaceDE w:val="0"/>
        <w:rPr>
          <w:rFonts w:ascii="Arial" w:hAnsi="Arial"/>
          <w:b/>
          <w:lang w:eastAsia="pl-PL"/>
        </w:rPr>
      </w:pPr>
    </w:p>
    <w:p w14:paraId="7E738DA3" w14:textId="5DD2453E" w:rsidR="00000000" w:rsidRDefault="00000000">
      <w:pPr>
        <w:pStyle w:val="BodyText23"/>
        <w:tabs>
          <w:tab w:val="left" w:pos="2113"/>
          <w:tab w:val="left" w:pos="4656"/>
          <w:tab w:val="left" w:pos="4686"/>
          <w:tab w:val="left" w:pos="4880"/>
        </w:tabs>
        <w:spacing w:after="0"/>
        <w:ind w:right="0"/>
      </w:pPr>
      <w:r>
        <w:rPr>
          <w:rFonts w:ascii="Arial" w:hAnsi="Arial"/>
          <w:szCs w:val="24"/>
        </w:rPr>
        <w:t xml:space="preserve">zgodnie z projektem zagospodarowania terenu oraz z </w:t>
      </w:r>
      <w:r>
        <w:rPr>
          <w:rFonts w:ascii="Arial" w:hAnsi="Arial"/>
          <w:bCs/>
          <w:szCs w:val="24"/>
        </w:rPr>
        <w:t xml:space="preserve">projektem architektoniczno-budowlanym </w:t>
      </w:r>
      <w:r>
        <w:rPr>
          <w:rFonts w:ascii="Arial" w:hAnsi="Arial"/>
          <w:szCs w:val="24"/>
        </w:rPr>
        <w:t>opracowanym przez:</w:t>
      </w:r>
    </w:p>
    <w:p w14:paraId="320DA299" w14:textId="66B745D8" w:rsidR="00000000" w:rsidRDefault="00000000">
      <w:pPr>
        <w:pStyle w:val="BodyText23"/>
        <w:spacing w:after="0"/>
        <w:ind w:right="0"/>
      </w:pPr>
      <w:r>
        <w:rPr>
          <w:rFonts w:ascii="Arial" w:hAnsi="Arial"/>
          <w:szCs w:val="24"/>
        </w:rPr>
        <w:t xml:space="preserve">Projektant: mgr inż. arch. Gabriela </w:t>
      </w:r>
      <w:proofErr w:type="spellStart"/>
      <w:r>
        <w:rPr>
          <w:rFonts w:ascii="Arial" w:hAnsi="Arial"/>
          <w:szCs w:val="24"/>
        </w:rPr>
        <w:t>Pacer</w:t>
      </w:r>
      <w:proofErr w:type="spellEnd"/>
      <w:r>
        <w:rPr>
          <w:rFonts w:ascii="Arial" w:hAnsi="Arial"/>
          <w:szCs w:val="24"/>
        </w:rPr>
        <w:t xml:space="preserve"> - Kapela – </w:t>
      </w:r>
      <w:proofErr w:type="spellStart"/>
      <w:r>
        <w:rPr>
          <w:rFonts w:ascii="Arial" w:hAnsi="Arial"/>
          <w:szCs w:val="24"/>
        </w:rPr>
        <w:t>upr</w:t>
      </w:r>
      <w:proofErr w:type="spellEnd"/>
      <w:r>
        <w:rPr>
          <w:rFonts w:ascii="Arial" w:hAnsi="Arial"/>
          <w:szCs w:val="24"/>
        </w:rPr>
        <w:t>. bud. nr 8/WM/OKK/2024, WM-0347</w:t>
      </w:r>
    </w:p>
    <w:p w14:paraId="50238F23" w14:textId="1FFF6602" w:rsidR="00000000" w:rsidRDefault="00000000">
      <w:pPr>
        <w:pStyle w:val="BodyText23"/>
        <w:spacing w:after="0"/>
        <w:ind w:right="0"/>
      </w:pPr>
      <w:r>
        <w:rPr>
          <w:rFonts w:ascii="Arial" w:hAnsi="Arial"/>
          <w:szCs w:val="24"/>
        </w:rPr>
        <w:t xml:space="preserve">Sprawdzający: mgr inż. arch. Krzysztof Zakrzewski – </w:t>
      </w:r>
      <w:proofErr w:type="spellStart"/>
      <w:r>
        <w:rPr>
          <w:rFonts w:ascii="Arial" w:hAnsi="Arial"/>
          <w:szCs w:val="24"/>
        </w:rPr>
        <w:t>upr</w:t>
      </w:r>
      <w:proofErr w:type="spellEnd"/>
      <w:r>
        <w:rPr>
          <w:rFonts w:ascii="Arial" w:hAnsi="Arial"/>
          <w:szCs w:val="24"/>
        </w:rPr>
        <w:t xml:space="preserve">. bud. nr 135/TO/94, KP-0102 </w:t>
      </w:r>
    </w:p>
    <w:p w14:paraId="7F371D75" w14:textId="23F91BD7" w:rsidR="00000000" w:rsidRDefault="00000000">
      <w:pPr>
        <w:pStyle w:val="BodyText23"/>
        <w:spacing w:after="0"/>
        <w:ind w:right="0"/>
      </w:pPr>
      <w:r>
        <w:rPr>
          <w:rFonts w:ascii="Arial" w:hAnsi="Arial"/>
          <w:szCs w:val="24"/>
        </w:rPr>
        <w:t xml:space="preserve">mgr inż. Sławomir Piechota – </w:t>
      </w:r>
      <w:proofErr w:type="spellStart"/>
      <w:r>
        <w:rPr>
          <w:rFonts w:ascii="Arial" w:hAnsi="Arial"/>
          <w:szCs w:val="24"/>
        </w:rPr>
        <w:t>upr</w:t>
      </w:r>
      <w:proofErr w:type="spellEnd"/>
      <w:r>
        <w:rPr>
          <w:rFonts w:ascii="Arial" w:hAnsi="Arial"/>
          <w:szCs w:val="24"/>
        </w:rPr>
        <w:t>. bud. nr WAM/004/PWOS/11, WAM/IS/0083/11</w:t>
      </w:r>
    </w:p>
    <w:p w14:paraId="0072195A" w14:textId="77777777" w:rsidR="00000000" w:rsidRDefault="00000000">
      <w:pPr>
        <w:pStyle w:val="BodyText23"/>
        <w:spacing w:after="0"/>
        <w:ind w:right="0"/>
      </w:pPr>
      <w:r>
        <w:rPr>
          <w:rFonts w:ascii="Arial" w:hAnsi="Arial"/>
          <w:szCs w:val="24"/>
        </w:rPr>
        <w:t xml:space="preserve">inż. Adam Stefaniak – </w:t>
      </w:r>
      <w:proofErr w:type="spellStart"/>
      <w:r>
        <w:rPr>
          <w:rFonts w:ascii="Arial" w:hAnsi="Arial"/>
          <w:szCs w:val="24"/>
        </w:rPr>
        <w:t>upr</w:t>
      </w:r>
      <w:proofErr w:type="spellEnd"/>
      <w:r>
        <w:rPr>
          <w:rFonts w:ascii="Arial" w:hAnsi="Arial"/>
          <w:szCs w:val="24"/>
        </w:rPr>
        <w:t>. bud. nr WAM/0168/POOE/04, WAM/IE/0174/05</w:t>
      </w:r>
    </w:p>
    <w:p w14:paraId="3443514F" w14:textId="77777777" w:rsidR="00000000" w:rsidRDefault="00000000">
      <w:pPr>
        <w:tabs>
          <w:tab w:val="left" w:pos="4678"/>
          <w:tab w:val="left" w:pos="4830"/>
        </w:tabs>
        <w:ind w:right="11"/>
      </w:pPr>
      <w:r>
        <w:rPr>
          <w:rFonts w:ascii="Arial" w:hAnsi="Arial"/>
        </w:rPr>
        <w:t xml:space="preserve">z zachowaniem następujących warunków – zgodnie z treścią art. 36 ust. 1 oraz 42 ust. 3 ustawy </w:t>
      </w:r>
    </w:p>
    <w:p w14:paraId="159325B6" w14:textId="77777777" w:rsidR="00000000" w:rsidRDefault="00000000">
      <w:pPr>
        <w:tabs>
          <w:tab w:val="left" w:pos="4678"/>
          <w:tab w:val="left" w:pos="4830"/>
        </w:tabs>
        <w:ind w:right="11"/>
      </w:pPr>
      <w:r>
        <w:rPr>
          <w:rFonts w:ascii="Arial" w:hAnsi="Arial"/>
        </w:rPr>
        <w:t>z dnia 7 lipca 1994 r. Prawo Budowlane (jw.):</w:t>
      </w:r>
    </w:p>
    <w:p w14:paraId="491A6636" w14:textId="77777777" w:rsidR="00000000" w:rsidRDefault="00000000">
      <w:pPr>
        <w:numPr>
          <w:ilvl w:val="0"/>
          <w:numId w:val="6"/>
        </w:numPr>
        <w:tabs>
          <w:tab w:val="left" w:pos="4830"/>
        </w:tabs>
        <w:ind w:left="0" w:right="11" w:firstLine="0"/>
      </w:pPr>
      <w:r>
        <w:rPr>
          <w:rFonts w:ascii="Arial" w:hAnsi="Arial"/>
        </w:rPr>
        <w:t>Szczególne warunki zabezpieczenia terenu budowy i prowadzenia robót budowlanych</w:t>
      </w:r>
    </w:p>
    <w:p w14:paraId="14CFF276" w14:textId="77777777" w:rsidR="00000000" w:rsidRDefault="00000000">
      <w:pPr>
        <w:numPr>
          <w:ilvl w:val="0"/>
          <w:numId w:val="7"/>
        </w:numPr>
        <w:tabs>
          <w:tab w:val="left" w:pos="4830"/>
        </w:tabs>
      </w:pPr>
      <w:r>
        <w:rPr>
          <w:rFonts w:ascii="Arial" w:hAnsi="Arial"/>
        </w:rPr>
        <w:t xml:space="preserve">realizować zgodnie z zatwierdzonym projektem zagospodarowania terenu i projektem architektoniczno-budowlanym </w:t>
      </w:r>
      <w:r>
        <w:rPr>
          <w:rFonts w:ascii="Arial" w:hAnsi="Arial"/>
          <w:color w:val="000000"/>
        </w:rPr>
        <w:t>(zał. Nr 1)</w:t>
      </w:r>
    </w:p>
    <w:p w14:paraId="08954394" w14:textId="26ADDB07" w:rsidR="00000000" w:rsidRDefault="00000000">
      <w:pPr>
        <w:numPr>
          <w:ilvl w:val="0"/>
          <w:numId w:val="6"/>
        </w:numPr>
        <w:tabs>
          <w:tab w:val="left" w:pos="4830"/>
        </w:tabs>
        <w:ind w:left="0" w:right="11" w:firstLine="0"/>
      </w:pPr>
      <w:r>
        <w:rPr>
          <w:rFonts w:ascii="Arial" w:hAnsi="Arial"/>
        </w:rPr>
        <w:t xml:space="preserve">Ustanowić kierownika budowy. </w:t>
      </w:r>
      <w:r>
        <w:rPr>
          <w:rFonts w:ascii="Arial" w:hAnsi="Arial"/>
          <w:color w:val="000000"/>
        </w:rPr>
        <w:t>Kierownik budowy (robót) jest obowiązany prowadzić dziennik budowy, umieścić na budowie w widocznym miejscu tablicę informacyjną, ogłoszenie zawierające dane dotyczące bezpieczeństwa pracy i ochrony zdrowia (stosownie do art. 45a ust. 1 pkt 3a i 3b Prawa Budowlanego) oraz odpowiednio zabezpieczyć teren budowy (zgodnie z art. 36 ust. 1 oraz art. 45a ust. 1 ustawy z dnia 7 lipca 1994 r. – Prawo budowlane).</w:t>
      </w:r>
    </w:p>
    <w:p w14:paraId="614E4CC5" w14:textId="77777777" w:rsidR="00000000" w:rsidRDefault="00000000">
      <w:pPr>
        <w:numPr>
          <w:ilvl w:val="0"/>
          <w:numId w:val="6"/>
        </w:numPr>
        <w:tabs>
          <w:tab w:val="left" w:pos="4830"/>
        </w:tabs>
        <w:ind w:left="0" w:right="11" w:firstLine="0"/>
      </w:pPr>
      <w:r>
        <w:rPr>
          <w:rFonts w:ascii="Arial" w:hAnsi="Arial"/>
          <w:color w:val="000000"/>
        </w:rPr>
        <w:t>Szczegółowe wymagania dotyczące nadzoru na budowie - ustanowić inspektora nadzoru inwestorskiego (§ 3 pkt 1) Rozporządzenia Ministra Infrastruktury z dnia 19.11.2001 r. w sprawie rodzajów obiektów budowlanych, przy których realizacji jest wymagane ustanowienie inspektora nadzoru inwestorskiego – Dz. U. z 2001 r. nr 138, poz. 1554.</w:t>
      </w:r>
    </w:p>
    <w:p w14:paraId="13E410C3" w14:textId="77777777" w:rsidR="00000000" w:rsidRDefault="00000000">
      <w:pPr>
        <w:pStyle w:val="Nagwek1"/>
      </w:pPr>
      <w:r>
        <w:rPr>
          <w:rFonts w:ascii="Arial" w:hAnsi="Arial" w:cs="Times New Roman"/>
          <w:sz w:val="24"/>
          <w:szCs w:val="24"/>
        </w:rPr>
        <w:lastRenderedPageBreak/>
        <w:t>Uzasadnienie:</w:t>
      </w:r>
    </w:p>
    <w:p w14:paraId="2F63D199" w14:textId="77777777" w:rsidR="00000000" w:rsidRDefault="00000000">
      <w:pPr>
        <w:tabs>
          <w:tab w:val="left" w:pos="568"/>
        </w:tabs>
      </w:pPr>
      <w:r>
        <w:rPr>
          <w:rFonts w:ascii="Arial" w:hAnsi="Arial"/>
        </w:rPr>
        <w:t xml:space="preserve">W dniu 11 grudnia 2025 r. do Prezydenta Olsztyna wpłynął wniosek </w:t>
      </w:r>
      <w:r>
        <w:rPr>
          <w:rStyle w:val="displayonly"/>
          <w:rFonts w:ascii="Arial" w:hAnsi="Arial"/>
          <w:lang w:eastAsia="pl-PL"/>
        </w:rPr>
        <w:t xml:space="preserve">Inwestora </w:t>
      </w:r>
      <w:r>
        <w:rPr>
          <w:rStyle w:val="displayonly"/>
          <w:rFonts w:ascii="Arial" w:hAnsi="Arial"/>
          <w:color w:val="000000"/>
          <w:lang w:eastAsia="pl-PL"/>
        </w:rPr>
        <w:t xml:space="preserve">Iławskiego Przedsiębiorstwa Budowlanego „IPB” Sp. z o. o., </w:t>
      </w:r>
      <w:r>
        <w:rPr>
          <w:rStyle w:val="luchili"/>
          <w:rFonts w:ascii="Arial" w:hAnsi="Arial"/>
          <w:color w:val="000000"/>
          <w:kern w:val="2"/>
        </w:rPr>
        <w:t xml:space="preserve">uzupełniony formalnie dnia 16.04.2026 r., dotyczący pozwolenia na </w:t>
      </w:r>
      <w:r>
        <w:rPr>
          <w:rStyle w:val="displayonly"/>
          <w:rFonts w:ascii="Arial" w:hAnsi="Arial"/>
          <w:color w:val="000000"/>
          <w:spacing w:val="-2"/>
          <w:kern w:val="2"/>
          <w:lang w:eastAsia="pl-PL"/>
        </w:rPr>
        <w:t xml:space="preserve">budowę dwóch budynków mieszkalnych wielorodzinnych B3 i B4 z garażami podziemnymi wraz z infrastrukturą techniczną i zagospodarowaniem terenu przy ulicy Zamenhofa w Olsztynie, na działkach nr 177, 27/2, 27/3, </w:t>
      </w:r>
      <w:proofErr w:type="spellStart"/>
      <w:r>
        <w:rPr>
          <w:rStyle w:val="displayonly"/>
          <w:rFonts w:ascii="Arial" w:hAnsi="Arial"/>
          <w:color w:val="000000"/>
          <w:spacing w:val="-2"/>
          <w:kern w:val="2"/>
          <w:lang w:eastAsia="pl-PL"/>
        </w:rPr>
        <w:t>obr</w:t>
      </w:r>
      <w:proofErr w:type="spellEnd"/>
      <w:r>
        <w:rPr>
          <w:rStyle w:val="displayonly"/>
          <w:rFonts w:ascii="Arial" w:hAnsi="Arial"/>
          <w:color w:val="000000"/>
          <w:spacing w:val="-2"/>
          <w:kern w:val="2"/>
          <w:lang w:eastAsia="pl-PL"/>
        </w:rPr>
        <w:t>. 16 Olsztyn, woj. warmińsko-mazurskie.</w:t>
      </w:r>
    </w:p>
    <w:p w14:paraId="236C9C5F" w14:textId="77777777" w:rsidR="00000000" w:rsidRDefault="00000000">
      <w:pPr>
        <w:tabs>
          <w:tab w:val="left" w:pos="568"/>
        </w:tabs>
      </w:pPr>
      <w:r>
        <w:rPr>
          <w:rStyle w:val="luchili"/>
          <w:rFonts w:ascii="Arial" w:hAnsi="Arial"/>
          <w:color w:val="000000"/>
          <w:spacing w:val="-2"/>
          <w:kern w:val="2"/>
          <w:lang w:eastAsia="pl-PL"/>
        </w:rPr>
        <w:t xml:space="preserve">Zgodnie z art. 10 §1 i art. 61 ust. 4 Kodeksu postępowania administracyjnego Strony zostały zawiadomione o wszczęciu postępowania w ww. sprawie. Żadna ze Stron postępowania nie wniosła </w:t>
      </w:r>
      <w:proofErr w:type="gramStart"/>
      <w:r>
        <w:rPr>
          <w:rStyle w:val="luchili"/>
          <w:rFonts w:ascii="Arial" w:hAnsi="Arial"/>
          <w:color w:val="000000"/>
          <w:spacing w:val="-2"/>
          <w:kern w:val="2"/>
          <w:lang w:eastAsia="pl-PL"/>
        </w:rPr>
        <w:t>zastrzeżeń,</w:t>
      </w:r>
      <w:proofErr w:type="gramEnd"/>
      <w:r>
        <w:rPr>
          <w:rStyle w:val="luchili"/>
          <w:rFonts w:ascii="Arial" w:hAnsi="Arial"/>
          <w:color w:val="000000"/>
          <w:spacing w:val="-2"/>
          <w:kern w:val="2"/>
          <w:lang w:eastAsia="pl-PL"/>
        </w:rPr>
        <w:t xml:space="preserve"> ani jakichkolwiek uwag do projektowanej inwestycji.</w:t>
      </w:r>
    </w:p>
    <w:p w14:paraId="18B7AE6C" w14:textId="084D8D67" w:rsidR="00000000" w:rsidRDefault="00000000">
      <w:pPr>
        <w:tabs>
          <w:tab w:val="left" w:pos="568"/>
        </w:tabs>
      </w:pPr>
      <w:r>
        <w:rPr>
          <w:rStyle w:val="luchili"/>
          <w:rFonts w:ascii="Arial" w:hAnsi="Arial"/>
          <w:color w:val="000000"/>
          <w:spacing w:val="-2"/>
          <w:kern w:val="2"/>
          <w:lang w:eastAsia="pl-PL"/>
        </w:rPr>
        <w:t>Dnia 26.05.2026 r. nałożono postanowieniem obowiązek usunięcia braków i nieprawidłowości występujących w przedłożonym wraz z wnioskiem projekcie budowlanym. Wniosek uzupełniono dnia 23.07.2026 r. Część graficzną projektu zagospodarowania terenu uzupełniono o</w:t>
      </w:r>
      <w:r>
        <w:rPr>
          <w:rStyle w:val="txt-new"/>
          <w:rFonts w:ascii="Arial" w:hAnsi="Arial"/>
          <w:color w:val="000000"/>
          <w:kern w:val="2"/>
        </w:rPr>
        <w:t xml:space="preserve"> wymiary stanowisk postojowych, odległości stanowisk postojowych od granic działki, okien budynków istniejących i projektowanych, </w:t>
      </w:r>
      <w:r>
        <w:rPr>
          <w:rStyle w:val="txt-new"/>
          <w:rFonts w:ascii="Arial" w:hAnsi="Arial"/>
          <w:color w:val="000000"/>
          <w:kern w:val="2"/>
          <w:lang w:eastAsia="ar-SA"/>
        </w:rPr>
        <w:t xml:space="preserve">odległości projektowanych budynków od budynków istniejących uwzględniając zabudowę sąsiednich działek, odległość miejsca gromadzenia odpadów stałych od granic działki, odległości placu zabaw od okien pomieszczeń przeznaczonych na pobyt ludzi uwzględniając sąsiadującą zabudowę, od dróg, od ciągów pieszo-jezdnych, od wjazdów </w:t>
      </w:r>
      <w:r>
        <w:rPr>
          <w:rStyle w:val="txt-new"/>
          <w:rFonts w:ascii="Arial" w:hAnsi="Arial"/>
          <w:color w:val="000000"/>
          <w:kern w:val="2"/>
          <w:lang w:eastAsia="ar-SA"/>
        </w:rPr>
        <w:br/>
        <w:t xml:space="preserve">do zamkniętego garażu, wymiary projektowanych budynków wykazując zgodność </w:t>
      </w:r>
      <w:r>
        <w:rPr>
          <w:rStyle w:val="txt-new"/>
          <w:rFonts w:ascii="Arial" w:hAnsi="Arial"/>
          <w:color w:val="000000"/>
          <w:kern w:val="2"/>
          <w:lang w:eastAsia="ar-SA"/>
        </w:rPr>
        <w:br/>
        <w:t xml:space="preserve">z </w:t>
      </w:r>
      <w:r>
        <w:rPr>
          <w:rStyle w:val="txt-new"/>
          <w:rFonts w:ascii="Arial" w:hAnsi="Arial"/>
          <w:color w:val="000000"/>
          <w:kern w:val="2"/>
        </w:rPr>
        <w:t>decyzją o warunkach zabudowy nr I-135/2023 z dnia 02.11.2023 r. w zakresie szerokości elewacji frontowej, wszystkie charakterystyczne r</w:t>
      </w:r>
      <w:r>
        <w:rPr>
          <w:rStyle w:val="txt-new"/>
          <w:rFonts w:ascii="Arial" w:hAnsi="Arial"/>
          <w:color w:val="000000"/>
          <w:kern w:val="2"/>
          <w:lang w:eastAsia="ar-SA"/>
        </w:rPr>
        <w:t xml:space="preserve">zędne i spadki terenu: rzędne </w:t>
      </w:r>
      <w:r>
        <w:rPr>
          <w:rStyle w:val="txt-new"/>
          <w:rFonts w:ascii="Arial" w:hAnsi="Arial"/>
          <w:color w:val="000000"/>
          <w:kern w:val="2"/>
        </w:rPr>
        <w:t xml:space="preserve">naroży budynku, terenu przy granicach działek, projektowanych chodników, ciągów pieszo-jezdnych, przy wjeździe i wejściu na teren inwestycji, </w:t>
      </w:r>
      <w:r>
        <w:rPr>
          <w:rStyle w:val="txt-new"/>
          <w:rFonts w:ascii="Arial" w:hAnsi="Arial"/>
          <w:color w:val="000000"/>
          <w:kern w:val="2"/>
          <w:shd w:val="clear" w:color="auto" w:fill="FFFFFF"/>
        </w:rPr>
        <w:t>projektowane spadki i rzędne na dojściach</w:t>
      </w:r>
      <w:r>
        <w:rPr>
          <w:rStyle w:val="txt-new"/>
          <w:rFonts w:ascii="Arial" w:hAnsi="Arial"/>
          <w:color w:val="000000"/>
          <w:kern w:val="2"/>
        </w:rPr>
        <w:t xml:space="preserve"> i dojazdach do budynku i do lokali wykazując dostęp budynku dla osób niepełnosprawnych. </w:t>
      </w:r>
      <w:r>
        <w:rPr>
          <w:rStyle w:val="txt-new"/>
          <w:rFonts w:ascii="Arial" w:hAnsi="Arial"/>
          <w:color w:val="000000"/>
          <w:kern w:val="2"/>
          <w:shd w:val="clear" w:color="auto" w:fill="FFFFFF"/>
        </w:rPr>
        <w:t xml:space="preserve">W części opisowej do projektu zagospodarowania terenu wskazano sieci i przyłącza objęte wnioskiem i odrębną procedurą administracyjną.  W części opisowej i rysunkowej wskazano budowę, przebudowę i rozbiórkę sieci elektroenergetycznej kolidującej z inwestycją objęte decyzją o pozwoleniu na budowę nr II-181/2026 z dnia 23.06.2026 r. oraz budowę i rozbiórkę sieci ciepłowniczej kolidującej z inwestycją zgodnie ze zgłoszeniem robót budowlanych nr sprawy UA.6743.1.2026 r. W części rysunkowej projektu zagospodarowania terenu wskazano projektowane mury oporowe na granicy działki sąsiedniej, wskazano rzędne terenu wzdłuż granic. W części graficznej projektu architektoniczno-budowlanego na przekrojach uzupełniono wymiary </w:t>
      </w:r>
      <w:r>
        <w:rPr>
          <w:rStyle w:val="txt-new"/>
          <w:rFonts w:ascii="Arial" w:hAnsi="Arial"/>
          <w:color w:val="000000"/>
          <w:kern w:val="2"/>
          <w:shd w:val="clear" w:color="auto" w:fill="FFFFFF"/>
        </w:rPr>
        <w:br/>
        <w:t xml:space="preserve">i rzędne wysokościowe projektowanych budynków wykazując </w:t>
      </w:r>
      <w:r>
        <w:rPr>
          <w:rStyle w:val="txt-new"/>
          <w:rFonts w:ascii="Arial" w:hAnsi="Arial"/>
          <w:color w:val="000000"/>
          <w:kern w:val="2"/>
          <w:lang w:eastAsia="ar-SA"/>
        </w:rPr>
        <w:t xml:space="preserve">zgodność z </w:t>
      </w:r>
      <w:r>
        <w:rPr>
          <w:rStyle w:val="txt-new"/>
          <w:rFonts w:ascii="Arial" w:hAnsi="Arial"/>
          <w:color w:val="000000"/>
          <w:kern w:val="2"/>
        </w:rPr>
        <w:t>decyzją o warunkach zabudowy nr I-135/2023 z dnia 02.11.2023 r.</w:t>
      </w:r>
      <w:r>
        <w:rPr>
          <w:rStyle w:val="txt-new"/>
          <w:rFonts w:ascii="Arial" w:hAnsi="Arial"/>
          <w:color w:val="000000"/>
          <w:kern w:val="2"/>
          <w:shd w:val="clear" w:color="auto" w:fill="FFFFFF"/>
        </w:rPr>
        <w:t xml:space="preserve"> W części graficznej i opisowej przedstawiono rozwiązanie placu zabaw spełniające zapisy §40 r</w:t>
      </w:r>
      <w:r>
        <w:rPr>
          <w:rStyle w:val="fontstyle01"/>
          <w:rFonts w:ascii="Arial" w:hAnsi="Arial" w:cs="Times New Roman"/>
          <w:kern w:val="2"/>
          <w:sz w:val="24"/>
          <w:szCs w:val="24"/>
          <w:shd w:val="clear" w:color="auto" w:fill="FFFFFF"/>
        </w:rPr>
        <w:t xml:space="preserve">ozporządzenia w sprawie warunków technicznych, jakim powinny odpowiadać budynki i ich usytuowanie. Wskazano </w:t>
      </w:r>
      <w:r>
        <w:rPr>
          <w:rStyle w:val="Pogrubienie"/>
          <w:rFonts w:ascii="Arial" w:hAnsi="Arial"/>
          <w:b w:val="0"/>
          <w:bCs w:val="0"/>
          <w:kern w:val="2"/>
          <w:bdr w:val="none" w:sz="0" w:space="0" w:color="000000"/>
          <w:shd w:val="clear" w:color="auto" w:fill="FFFFFF"/>
        </w:rPr>
        <w:t>na rysunku projektu zagospodarowania terenu oraz uwzględniono w bilansie terenu odrębne, niezależne metrażowo miejsce rekreacji dostępne dla osób ze szczególnymi potrzebami.</w:t>
      </w:r>
    </w:p>
    <w:p w14:paraId="59AB2AC4" w14:textId="77777777" w:rsidR="00000000" w:rsidRDefault="00000000">
      <w:pPr>
        <w:tabs>
          <w:tab w:val="left" w:pos="563"/>
        </w:tabs>
        <w:autoSpaceDE w:val="0"/>
      </w:pPr>
      <w:r>
        <w:rPr>
          <w:rStyle w:val="luchili"/>
          <w:rFonts w:ascii="Arial" w:hAnsi="Arial"/>
          <w:color w:val="000000"/>
          <w:kern w:val="2"/>
          <w:lang w:eastAsia="pl-PL"/>
        </w:rPr>
        <w:t>B</w:t>
      </w:r>
      <w:r>
        <w:rPr>
          <w:rStyle w:val="displayonly"/>
          <w:rFonts w:ascii="Arial" w:hAnsi="Arial"/>
          <w:color w:val="000000"/>
          <w:spacing w:val="-2"/>
          <w:kern w:val="2"/>
          <w:lang w:eastAsia="pl-PL"/>
        </w:rPr>
        <w:t xml:space="preserve">udowa dwóch budynków mieszkalnych wielorodzinnych B3 i B4 z garażami podziemnymi wraz z infrastrukturą techniczną i zagospodarowaniem terenu przy ulicy Zamenhofa w Olsztynie, na działkach nr 177, 27/2, 27/3, </w:t>
      </w:r>
      <w:proofErr w:type="spellStart"/>
      <w:r>
        <w:rPr>
          <w:rStyle w:val="displayonly"/>
          <w:rFonts w:ascii="Arial" w:hAnsi="Arial"/>
          <w:color w:val="000000"/>
          <w:spacing w:val="-2"/>
          <w:kern w:val="2"/>
          <w:lang w:eastAsia="pl-PL"/>
        </w:rPr>
        <w:t>obr</w:t>
      </w:r>
      <w:proofErr w:type="spellEnd"/>
      <w:r>
        <w:rPr>
          <w:rStyle w:val="displayonly"/>
          <w:rFonts w:ascii="Arial" w:hAnsi="Arial"/>
          <w:color w:val="000000"/>
          <w:spacing w:val="-2"/>
          <w:kern w:val="2"/>
          <w:lang w:eastAsia="pl-PL"/>
        </w:rPr>
        <w:t>. 16 Olsztyn, woj. warmińsko – mazurskie jest zgodna z wydaną D</w:t>
      </w:r>
      <w:r>
        <w:rPr>
          <w:rStyle w:val="txt-new"/>
          <w:rFonts w:ascii="Arial" w:hAnsi="Arial"/>
          <w:color w:val="000000"/>
          <w:kern w:val="2"/>
        </w:rPr>
        <w:t>ecyzją o warunkach zabudowy nr I-135/2023 z dnia 02.11.2023 r</w:t>
      </w:r>
      <w:r>
        <w:rPr>
          <w:rStyle w:val="displayonly"/>
          <w:rFonts w:ascii="Arial" w:hAnsi="Arial"/>
          <w:color w:val="000000"/>
          <w:spacing w:val="-2"/>
          <w:kern w:val="2"/>
          <w:lang w:eastAsia="pl-PL"/>
        </w:rPr>
        <w:t>.</w:t>
      </w:r>
    </w:p>
    <w:p w14:paraId="169490A0" w14:textId="77777777" w:rsidR="00000000" w:rsidRDefault="00000000">
      <w:pPr>
        <w:widowControl w:val="0"/>
        <w:autoSpaceDE w:val="0"/>
        <w:spacing w:line="283" w:lineRule="exact"/>
      </w:pPr>
      <w:r>
        <w:rPr>
          <w:rStyle w:val="displayonly"/>
          <w:rFonts w:ascii="Arial" w:hAnsi="Arial"/>
          <w:color w:val="000000"/>
          <w:spacing w:val="-2"/>
          <w:kern w:val="2"/>
          <w:lang w:eastAsia="pl-PL"/>
        </w:rPr>
        <w:t xml:space="preserve">Planowana inwestycja jest na fragmencie terenu, dla którego wydano decyzję </w:t>
      </w:r>
      <w:r>
        <w:rPr>
          <w:rStyle w:val="displayonly"/>
          <w:rFonts w:ascii="Arial" w:hAnsi="Arial"/>
          <w:color w:val="000000"/>
          <w:spacing w:val="-2"/>
          <w:kern w:val="2"/>
          <w:lang w:eastAsia="pl-PL"/>
        </w:rPr>
        <w:br/>
        <w:t xml:space="preserve">o środowiskowych uwarunkowaniach z dnia 26.06.2023 r., (znak SD.6220.11.2023.MA) dla innego większego przedsięwzięcia polegającego na „Budowie hal garażowych oraz miejsc parkingowych oraz miejsc parkingowych naziemnych wraz z towarzyszącą infrastrukturą dla zespołu budynków mieszkalnych wielorodzinnych na działkach nr 22/5, 177, </w:t>
      </w:r>
      <w:proofErr w:type="spellStart"/>
      <w:r>
        <w:rPr>
          <w:rStyle w:val="displayonly"/>
          <w:rFonts w:ascii="Arial" w:hAnsi="Arial"/>
          <w:color w:val="000000"/>
          <w:spacing w:val="-2"/>
          <w:kern w:val="2"/>
          <w:lang w:eastAsia="pl-PL"/>
        </w:rPr>
        <w:t>obr</w:t>
      </w:r>
      <w:proofErr w:type="spellEnd"/>
      <w:r>
        <w:rPr>
          <w:rStyle w:val="displayonly"/>
          <w:rFonts w:ascii="Arial" w:hAnsi="Arial"/>
          <w:color w:val="000000"/>
          <w:spacing w:val="-2"/>
          <w:kern w:val="2"/>
          <w:lang w:eastAsia="pl-PL"/>
        </w:rPr>
        <w:t xml:space="preserve">. 16 przy Zamenhofa w Olsztynie”. </w:t>
      </w:r>
      <w:r>
        <w:rPr>
          <w:rStyle w:val="displayonly"/>
          <w:rFonts w:ascii="Arial" w:hAnsi="Arial"/>
          <w:color w:val="000000"/>
          <w:spacing w:val="-2"/>
          <w:kern w:val="2"/>
          <w:lang w:eastAsia="pl-PL" w:bidi="hi-IN"/>
        </w:rPr>
        <w:t xml:space="preserve">Budowa dwóch budynków wielorodzinnych B3 i B4 przy ul. Zamenhofa </w:t>
      </w:r>
      <w:r>
        <w:rPr>
          <w:rStyle w:val="displayonly"/>
          <w:rFonts w:ascii="Arial" w:hAnsi="Arial"/>
          <w:color w:val="000000"/>
          <w:spacing w:val="-2"/>
          <w:kern w:val="2"/>
          <w:lang w:eastAsia="pl-PL"/>
        </w:rPr>
        <w:t xml:space="preserve">- należy do przedsięwzięć mogących potencjalnie znacząco oddziaływać na środowisko w rozumieniu Rozporządzenia Rady Ministrów z dnia 10.09.2019 r. (DZ. U. z </w:t>
      </w:r>
      <w:r>
        <w:rPr>
          <w:rStyle w:val="displayonly"/>
          <w:rFonts w:ascii="Arial" w:hAnsi="Arial"/>
          <w:color w:val="000000"/>
          <w:spacing w:val="-2"/>
          <w:kern w:val="2"/>
          <w:lang w:eastAsia="pl-PL"/>
        </w:rPr>
        <w:lastRenderedPageBreak/>
        <w:t>2019 r. poz. 1839) „w sprawie przedsięwzięć mogących znacząco oddziaływać na środowisko”. Planowana inwestycja jest zgodna z ww. decyzją o środowiskowych uwarunkowaniach. Informację o wniosku umieszczono pod poz. UA nr 5/2026 w Publicznym Wykazie Informacji o Inwestycjach Mogących Znacząco Oddziaływać na Środowisko publikowanym w Biuletynie Informacji Publicznej Urzędu Miasta Olsztyna.</w:t>
      </w:r>
    </w:p>
    <w:p w14:paraId="5C7D016C" w14:textId="77777777" w:rsidR="00000000" w:rsidRDefault="00000000">
      <w:pPr>
        <w:pStyle w:val="Tekstpodstawowy"/>
        <w:tabs>
          <w:tab w:val="left" w:pos="563"/>
        </w:tabs>
        <w:autoSpaceDE w:val="0"/>
        <w:spacing w:after="6"/>
      </w:pPr>
      <w:r>
        <w:rPr>
          <w:rFonts w:ascii="Arial" w:hAnsi="Arial"/>
          <w:bCs/>
          <w:color w:val="000000"/>
          <w:kern w:val="2"/>
        </w:rPr>
        <w:t>Z przedłożonych akt spra</w:t>
      </w:r>
      <w:r>
        <w:rPr>
          <w:rFonts w:ascii="Arial" w:hAnsi="Arial"/>
          <w:bCs/>
          <w:kern w:val="2"/>
        </w:rPr>
        <w:t xml:space="preserve">wy wynika, że inwestor wypełnił wszystkie obowiązki nałożone art. 33 ust. 2 ustawy Prawo budowlane, </w:t>
      </w:r>
      <w:r>
        <w:rPr>
          <w:rFonts w:ascii="Arial" w:hAnsi="Arial"/>
          <w:bCs/>
          <w:color w:val="000000"/>
          <w:kern w:val="2"/>
        </w:rPr>
        <w:t>bowiem przedłożył</w:t>
      </w:r>
      <w:r>
        <w:rPr>
          <w:rFonts w:ascii="Arial" w:hAnsi="Arial"/>
          <w:bCs/>
          <w:kern w:val="2"/>
        </w:rPr>
        <w:t xml:space="preserve"> oświadczenie o posiadanym prawie do dysponowania nieruchomością na cele budowlane, projekt </w:t>
      </w:r>
      <w:proofErr w:type="spellStart"/>
      <w:r>
        <w:rPr>
          <w:rFonts w:ascii="Arial" w:hAnsi="Arial"/>
          <w:bCs/>
          <w:kern w:val="2"/>
        </w:rPr>
        <w:t>architektoniczno</w:t>
      </w:r>
      <w:proofErr w:type="spellEnd"/>
      <w:r>
        <w:rPr>
          <w:rFonts w:ascii="Arial" w:hAnsi="Arial"/>
          <w:bCs/>
          <w:kern w:val="2"/>
        </w:rPr>
        <w:t xml:space="preserve"> – budowlany oraz projekt zagospodarowania terenu  </w:t>
      </w:r>
      <w:r>
        <w:rPr>
          <w:rStyle w:val="luchili"/>
          <w:rFonts w:ascii="Arial" w:hAnsi="Arial"/>
          <w:color w:val="000000"/>
          <w:kern w:val="2"/>
        </w:rPr>
        <w:t xml:space="preserve">sporządzony przez osobę posiadającą uprawnienia budowlane do projektowania w odpowiedniej specjalności, </w:t>
      </w:r>
      <w:r>
        <w:rPr>
          <w:rFonts w:ascii="Arial" w:hAnsi="Arial"/>
          <w:bCs/>
          <w:kern w:val="2"/>
        </w:rPr>
        <w:t xml:space="preserve">zawierający oświadczenie projektanta o zgodności projektu zagospodarowania terenu i projektu </w:t>
      </w:r>
      <w:proofErr w:type="spellStart"/>
      <w:r>
        <w:rPr>
          <w:rFonts w:ascii="Arial" w:hAnsi="Arial"/>
          <w:bCs/>
          <w:kern w:val="2"/>
        </w:rPr>
        <w:t>architektoniczno</w:t>
      </w:r>
      <w:proofErr w:type="spellEnd"/>
      <w:r>
        <w:rPr>
          <w:rFonts w:ascii="Arial" w:hAnsi="Arial"/>
          <w:bCs/>
          <w:kern w:val="2"/>
        </w:rPr>
        <w:t xml:space="preserve"> - budowlanego z przepisami i zasadami wiedzy technicznej.</w:t>
      </w:r>
    </w:p>
    <w:p w14:paraId="42AC6806" w14:textId="77777777" w:rsidR="00000000" w:rsidRDefault="00000000">
      <w:pPr>
        <w:pStyle w:val="Tekstpodstawowy"/>
        <w:tabs>
          <w:tab w:val="left" w:pos="563"/>
        </w:tabs>
        <w:autoSpaceDE w:val="0"/>
        <w:spacing w:after="0"/>
      </w:pPr>
      <w:r>
        <w:rPr>
          <w:rFonts w:ascii="Arial" w:hAnsi="Arial"/>
          <w:bCs/>
          <w:color w:val="000000"/>
          <w:kern w:val="2"/>
        </w:rPr>
        <w:t>Wobec powyższego należało orzec</w:t>
      </w:r>
      <w:r>
        <w:rPr>
          <w:rFonts w:ascii="Arial" w:hAnsi="Arial"/>
          <w:color w:val="000000"/>
          <w:kern w:val="2"/>
        </w:rPr>
        <w:t xml:space="preserve"> jak w sentencji decyzji.</w:t>
      </w:r>
    </w:p>
    <w:p w14:paraId="6B1F7536" w14:textId="77777777" w:rsidR="00000000" w:rsidRDefault="00000000">
      <w:pPr>
        <w:pStyle w:val="Nagwek1"/>
      </w:pPr>
      <w:r>
        <w:rPr>
          <w:rFonts w:ascii="Arial" w:hAnsi="Arial" w:cs="Times New Roman"/>
          <w:sz w:val="24"/>
          <w:szCs w:val="24"/>
        </w:rPr>
        <w:t>Pouczenie:</w:t>
      </w:r>
    </w:p>
    <w:p w14:paraId="30E079F3" w14:textId="77777777" w:rsidR="00000000" w:rsidRDefault="00000000">
      <w:pPr>
        <w:ind w:right="49"/>
      </w:pPr>
      <w:r>
        <w:rPr>
          <w:rFonts w:ascii="Arial" w:hAnsi="Arial"/>
        </w:rPr>
        <w:t xml:space="preserve">Decyzja niniejsza nie jest ostateczna. Od decyzji przysługuje odwołanie do Wojewody Warmińsko - Mazurskiego za pośrednictwem Prezydenta Olsztyna w terminie 14 dni od dnia doręczenia decyzji. </w:t>
      </w:r>
    </w:p>
    <w:p w14:paraId="2EB33752" w14:textId="77777777" w:rsidR="00000000" w:rsidRDefault="00000000">
      <w:pPr>
        <w:tabs>
          <w:tab w:val="left" w:pos="552"/>
          <w:tab w:val="left" w:pos="4655"/>
          <w:tab w:val="left" w:pos="22850"/>
          <w:tab w:val="left" w:pos="23227"/>
          <w:tab w:val="left" w:pos="23307"/>
        </w:tabs>
        <w:spacing w:line="100" w:lineRule="atLeast"/>
        <w:ind w:left="10"/>
      </w:pPr>
      <w:r>
        <w:rPr>
          <w:rFonts w:ascii="Arial" w:hAnsi="Arial"/>
        </w:rPr>
        <w:t>Przed upływem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 decyzja staje się ostateczna i prawomocna, co oznacza, iż decyzja podlega natychmiastowemu wykonaniu i brak jest możliwości zaskarżenia decyzji do WSA. Nie jest możliwe skuteczne cofnięcie oświadczenia o zrzeczeniu się prawa do wniesienia odwołania.</w:t>
      </w:r>
    </w:p>
    <w:p w14:paraId="2E7F9E0E" w14:textId="77777777" w:rsidR="00000000" w:rsidRDefault="00000000">
      <w:pPr>
        <w:pStyle w:val="Nagwek1"/>
      </w:pPr>
      <w:r>
        <w:rPr>
          <w:rFonts w:ascii="Arial" w:hAnsi="Arial" w:cs="Times New Roman"/>
          <w:sz w:val="24"/>
          <w:szCs w:val="24"/>
        </w:rPr>
        <w:t>Adnotacja dotycząca opłaty skarbowej:</w:t>
      </w:r>
    </w:p>
    <w:p w14:paraId="70DF4451" w14:textId="77777777" w:rsidR="00000000" w:rsidRDefault="00000000">
      <w:pPr>
        <w:autoSpaceDE w:val="0"/>
        <w:spacing w:after="240"/>
      </w:pPr>
      <w:r>
        <w:rPr>
          <w:rStyle w:val="luchili"/>
          <w:rFonts w:ascii="Arial" w:hAnsi="Arial"/>
          <w:color w:val="000000"/>
        </w:rPr>
        <w:t>Zgodnie z art. 2 ust. 1 pkt 2 ustawy z dnia 16 listopada 2006 r. o opłacie skarbowej (Dz. U. z 2025 r. poz. 1154 tj.) dokonanie czynności urzędowej, wydanie zaświadczenia oraz zezwolenia w sprawach budownictwa mieszkaniowego nie podlega opłacie skarbowej.</w:t>
      </w:r>
    </w:p>
    <w:p w14:paraId="5E079819" w14:textId="77777777" w:rsidR="00000000" w:rsidRDefault="00000000">
      <w:pPr>
        <w:tabs>
          <w:tab w:val="left" w:pos="4678"/>
        </w:tabs>
      </w:pPr>
      <w:r>
        <w:rPr>
          <w:rFonts w:ascii="Arial" w:hAnsi="Arial"/>
          <w:b/>
        </w:rPr>
        <w:t>Decyzje otrzymuje:</w:t>
      </w:r>
    </w:p>
    <w:p w14:paraId="6462D856" w14:textId="77777777" w:rsidR="00000000" w:rsidRDefault="00000000">
      <w:pPr>
        <w:numPr>
          <w:ilvl w:val="0"/>
          <w:numId w:val="2"/>
        </w:numPr>
        <w:tabs>
          <w:tab w:val="left" w:pos="4678"/>
        </w:tabs>
        <w:ind w:left="0" w:firstLine="0"/>
      </w:pPr>
      <w:r>
        <w:rPr>
          <w:rFonts w:ascii="Arial" w:hAnsi="Arial"/>
        </w:rPr>
        <w:t>Iławskie Przedsiębiorstwo Budowlane „IPB” (+ 1 egz. proj.)</w:t>
      </w:r>
    </w:p>
    <w:p w14:paraId="3F12529A" w14:textId="77777777" w:rsidR="00000000" w:rsidRDefault="00000000">
      <w:pPr>
        <w:numPr>
          <w:ilvl w:val="0"/>
          <w:numId w:val="2"/>
        </w:numPr>
        <w:tabs>
          <w:tab w:val="left" w:pos="4678"/>
        </w:tabs>
        <w:ind w:left="0" w:firstLine="0"/>
      </w:pPr>
      <w:r>
        <w:rPr>
          <w:rFonts w:ascii="Arial" w:hAnsi="Arial"/>
        </w:rPr>
        <w:t>Gmina Olsztyna - Wydział GGN</w:t>
      </w:r>
    </w:p>
    <w:p w14:paraId="3CF7C559" w14:textId="77777777" w:rsidR="00000000" w:rsidRDefault="00000000">
      <w:pPr>
        <w:numPr>
          <w:ilvl w:val="0"/>
          <w:numId w:val="2"/>
        </w:numPr>
        <w:tabs>
          <w:tab w:val="left" w:pos="4678"/>
        </w:tabs>
        <w:ind w:left="0" w:firstLine="0"/>
      </w:pPr>
      <w:r>
        <w:rPr>
          <w:rFonts w:ascii="Arial" w:hAnsi="Arial"/>
        </w:rPr>
        <w:t>ZDZT w Olsztynie</w:t>
      </w:r>
    </w:p>
    <w:p w14:paraId="085AB44A" w14:textId="77777777" w:rsidR="00000000" w:rsidRDefault="00000000">
      <w:pPr>
        <w:numPr>
          <w:ilvl w:val="0"/>
          <w:numId w:val="2"/>
        </w:numPr>
        <w:tabs>
          <w:tab w:val="left" w:pos="4678"/>
        </w:tabs>
        <w:ind w:left="0" w:firstLine="0"/>
      </w:pPr>
      <w:r>
        <w:rPr>
          <w:rFonts w:ascii="Arial" w:hAnsi="Arial"/>
        </w:rPr>
        <w:t>Skarb Państwa – Wydział GGN</w:t>
      </w:r>
    </w:p>
    <w:p w14:paraId="1AC31CE7" w14:textId="77777777" w:rsidR="00000000" w:rsidRDefault="00000000">
      <w:pPr>
        <w:numPr>
          <w:ilvl w:val="0"/>
          <w:numId w:val="2"/>
        </w:numPr>
        <w:tabs>
          <w:tab w:val="left" w:pos="4678"/>
        </w:tabs>
        <w:ind w:left="0" w:firstLine="0"/>
      </w:pPr>
      <w:r>
        <w:rPr>
          <w:rFonts w:ascii="Arial" w:hAnsi="Arial"/>
        </w:rPr>
        <w:t xml:space="preserve"> Energa-Operator S.A z siedzibą w Gdańsku</w:t>
      </w:r>
    </w:p>
    <w:p w14:paraId="4A388F3A" w14:textId="77777777" w:rsidR="00000000" w:rsidRDefault="00000000">
      <w:pPr>
        <w:numPr>
          <w:ilvl w:val="0"/>
          <w:numId w:val="2"/>
        </w:numPr>
        <w:tabs>
          <w:tab w:val="left" w:pos="4678"/>
        </w:tabs>
        <w:ind w:left="0" w:firstLine="0"/>
      </w:pPr>
      <w:r>
        <w:rPr>
          <w:rFonts w:ascii="Arial" w:hAnsi="Arial"/>
        </w:rPr>
        <w:t>Wspólnota mieszkaniowa nieruchomości przy ul. Zamenhofa 16C</w:t>
      </w:r>
    </w:p>
    <w:p w14:paraId="76DB7E95" w14:textId="77777777" w:rsidR="00000000" w:rsidRDefault="00000000">
      <w:pPr>
        <w:tabs>
          <w:tab w:val="left" w:pos="4678"/>
        </w:tabs>
        <w:ind w:left="720"/>
      </w:pPr>
      <w:r>
        <w:rPr>
          <w:rFonts w:ascii="Arial" w:hAnsi="Arial"/>
        </w:rPr>
        <w:t>Zarząd wspólnoty</w:t>
      </w:r>
    </w:p>
    <w:p w14:paraId="5D940427" w14:textId="77777777" w:rsidR="00000000" w:rsidRPr="00B602E5" w:rsidRDefault="00000000">
      <w:pPr>
        <w:numPr>
          <w:ilvl w:val="0"/>
          <w:numId w:val="2"/>
        </w:numPr>
        <w:tabs>
          <w:tab w:val="left" w:pos="4678"/>
        </w:tabs>
        <w:ind w:left="0" w:firstLine="0"/>
      </w:pPr>
      <w:r>
        <w:rPr>
          <w:rFonts w:ascii="Arial" w:hAnsi="Arial"/>
        </w:rPr>
        <w:t>ZBK Sp. z o. o</w:t>
      </w:r>
    </w:p>
    <w:p w14:paraId="0DC2E165" w14:textId="77777777" w:rsidR="00B602E5" w:rsidRDefault="00B602E5" w:rsidP="00B602E5">
      <w:pPr>
        <w:tabs>
          <w:tab w:val="left" w:pos="4678"/>
        </w:tabs>
      </w:pPr>
    </w:p>
    <w:p w14:paraId="127026E9" w14:textId="77777777" w:rsidR="00000000" w:rsidRDefault="00000000">
      <w:pPr>
        <w:tabs>
          <w:tab w:val="left" w:pos="4678"/>
        </w:tabs>
      </w:pPr>
      <w:r>
        <w:rPr>
          <w:rFonts w:ascii="Arial" w:hAnsi="Arial"/>
          <w:b/>
        </w:rPr>
        <w:t>Do wiadomości:</w:t>
      </w:r>
    </w:p>
    <w:p w14:paraId="73916AD8" w14:textId="77777777" w:rsidR="00000000" w:rsidRDefault="00000000">
      <w:pPr>
        <w:numPr>
          <w:ilvl w:val="0"/>
          <w:numId w:val="3"/>
        </w:numPr>
        <w:ind w:left="0" w:firstLine="0"/>
      </w:pPr>
      <w:r>
        <w:rPr>
          <w:rFonts w:ascii="Arial" w:hAnsi="Arial"/>
        </w:rPr>
        <w:t>PINB dla m. Olsztyna</w:t>
      </w:r>
      <w:r>
        <w:rPr>
          <w:rFonts w:ascii="Arial" w:hAnsi="Arial"/>
          <w:color w:val="000000"/>
        </w:rPr>
        <w:t xml:space="preserve">, ul. Kołobrzeska 27 </w:t>
      </w:r>
      <w:r>
        <w:rPr>
          <w:rFonts w:ascii="Arial" w:hAnsi="Arial"/>
        </w:rPr>
        <w:t>(+ 1 egz. proj.)</w:t>
      </w:r>
    </w:p>
    <w:p w14:paraId="2CBCD522" w14:textId="77777777" w:rsidR="00000000" w:rsidRDefault="00000000">
      <w:pPr>
        <w:numPr>
          <w:ilvl w:val="0"/>
          <w:numId w:val="3"/>
        </w:numPr>
        <w:ind w:left="0" w:firstLine="0"/>
      </w:pPr>
      <w:r>
        <w:rPr>
          <w:rFonts w:ascii="Arial" w:hAnsi="Arial"/>
        </w:rPr>
        <w:t>Prezydent Olsztyna -Wydział Podatków i Opłat</w:t>
      </w:r>
    </w:p>
    <w:p w14:paraId="63494C25" w14:textId="77777777" w:rsidR="00000000" w:rsidRDefault="00000000">
      <w:pPr>
        <w:numPr>
          <w:ilvl w:val="0"/>
          <w:numId w:val="3"/>
        </w:numPr>
        <w:ind w:left="0" w:firstLine="0"/>
      </w:pPr>
      <w:r>
        <w:rPr>
          <w:rFonts w:ascii="Arial" w:hAnsi="Arial"/>
        </w:rPr>
        <w:t>Prezydent Olsztyna - Wydział Ochrony Środowiska</w:t>
      </w:r>
    </w:p>
    <w:p w14:paraId="0DFB1CA2" w14:textId="77777777" w:rsidR="00000000" w:rsidRDefault="00000000">
      <w:pPr>
        <w:numPr>
          <w:ilvl w:val="0"/>
          <w:numId w:val="3"/>
        </w:numPr>
        <w:tabs>
          <w:tab w:val="left" w:pos="4536"/>
          <w:tab w:val="left" w:pos="4678"/>
        </w:tabs>
        <w:ind w:left="0" w:firstLine="0"/>
      </w:pPr>
      <w:r>
        <w:rPr>
          <w:rFonts w:ascii="Arial" w:hAnsi="Arial"/>
        </w:rPr>
        <w:t>a/a (l. dz. 3211/2025) (+ 1 egz. proj.)</w:t>
      </w:r>
    </w:p>
    <w:p w14:paraId="7586299F" w14:textId="2A38F076" w:rsidR="00000000" w:rsidRDefault="00000000">
      <w:r>
        <w:rPr>
          <w:rFonts w:ascii="Arial" w:hAnsi="Arial"/>
          <w:i/>
        </w:rPr>
        <w:t xml:space="preserve">Dane do kontaktu: insp. Magdalena </w:t>
      </w:r>
      <w:proofErr w:type="spellStart"/>
      <w:r>
        <w:rPr>
          <w:rFonts w:ascii="Arial" w:hAnsi="Arial"/>
          <w:i/>
        </w:rPr>
        <w:t>Szczygłowska</w:t>
      </w:r>
      <w:proofErr w:type="spellEnd"/>
      <w:r>
        <w:rPr>
          <w:rFonts w:ascii="Arial" w:hAnsi="Arial"/>
          <w:i/>
        </w:rPr>
        <w:t xml:space="preserve"> (pok. nr 310 UM, tel. 89 5060389)</w:t>
      </w:r>
    </w:p>
    <w:p w14:paraId="7EF8DA8B" w14:textId="77777777" w:rsidR="00B602E5" w:rsidRDefault="00B602E5">
      <w:pPr>
        <w:pStyle w:val="BodyText23"/>
        <w:tabs>
          <w:tab w:val="left" w:pos="4678"/>
          <w:tab w:val="left" w:pos="4707"/>
        </w:tabs>
        <w:spacing w:after="0"/>
        <w:ind w:right="-1"/>
        <w:rPr>
          <w:rFonts w:ascii="Arial" w:hAnsi="Arial"/>
          <w:b/>
          <w:bCs/>
          <w:szCs w:val="24"/>
        </w:rPr>
      </w:pPr>
    </w:p>
    <w:p w14:paraId="081D23E8" w14:textId="2F879200" w:rsidR="00000000" w:rsidRDefault="00000000">
      <w:pPr>
        <w:pStyle w:val="BodyText23"/>
        <w:tabs>
          <w:tab w:val="left" w:pos="4678"/>
          <w:tab w:val="left" w:pos="4707"/>
        </w:tabs>
        <w:spacing w:after="0"/>
        <w:ind w:right="-1"/>
      </w:pPr>
      <w:r>
        <w:rPr>
          <w:rFonts w:ascii="Arial" w:hAnsi="Arial"/>
          <w:b/>
          <w:bCs/>
          <w:szCs w:val="24"/>
        </w:rPr>
        <w:t>Pouczenie:</w:t>
      </w:r>
    </w:p>
    <w:p w14:paraId="60F73D4B" w14:textId="77777777" w:rsidR="00000000" w:rsidRDefault="00000000">
      <w:pPr>
        <w:numPr>
          <w:ilvl w:val="0"/>
          <w:numId w:val="4"/>
        </w:numPr>
        <w:tabs>
          <w:tab w:val="left" w:pos="360"/>
        </w:tabs>
        <w:ind w:left="360"/>
      </w:pPr>
      <w:r>
        <w:rPr>
          <w:rFonts w:ascii="Arial" w:hAnsi="Arial"/>
        </w:rPr>
        <w:t>Inwestor jest obowiązany zawiadomić o zamierzonym terminie rozpoczęcia robót budowlanych właściwy organ nadzoru budowlanego oraz projektanta sprawującego nadzór nad zgodnością realizacji budowy z projektem, dołączając na piśmie:</w:t>
      </w:r>
    </w:p>
    <w:p w14:paraId="07F74110" w14:textId="77777777" w:rsidR="00000000" w:rsidRDefault="00000000">
      <w:pPr>
        <w:numPr>
          <w:ilvl w:val="0"/>
          <w:numId w:val="5"/>
        </w:numPr>
        <w:tabs>
          <w:tab w:val="clear" w:pos="720"/>
          <w:tab w:val="left" w:pos="680"/>
          <w:tab w:val="left" w:pos="740"/>
        </w:tabs>
      </w:pPr>
      <w:r>
        <w:rPr>
          <w:rFonts w:ascii="Arial" w:hAnsi="Arial"/>
        </w:rPr>
        <w:lastRenderedPageBreak/>
        <w:t>oświadczenie kierownika budowy (robót) stwierdzające sporządzenie planu bezpieczeństwa i ochrony zdrowia oraz przyjęcie obowiązku kierowania budową (robotami budowlanymi), a także zaświadczenie, o którym mowa w art. 12 ust. 7 ustawy z dnia 7 lipca 1994 r. - Prawo budowlane;</w:t>
      </w:r>
    </w:p>
    <w:p w14:paraId="3387BBFC" w14:textId="656D9BDB" w:rsidR="00000000" w:rsidRDefault="00000000">
      <w:pPr>
        <w:numPr>
          <w:ilvl w:val="0"/>
          <w:numId w:val="5"/>
        </w:numPr>
        <w:tabs>
          <w:tab w:val="left" w:pos="720"/>
        </w:tabs>
      </w:pPr>
      <w:r>
        <w:rPr>
          <w:rFonts w:ascii="Arial" w:hAnsi="Arial"/>
        </w:rPr>
        <w:t>w przypadku ustanowienia nadzoru inwestorskiego – oświadczenie inspektora nadzoru inwestorskiego stwierdzające przyjęcie obowiązku pełnienia nadzoru inwestorskiego nad danymi robotami budowlanymi,</w:t>
      </w:r>
      <w:r w:rsidR="00B602E5">
        <w:rPr>
          <w:rFonts w:ascii="Arial" w:hAnsi="Arial"/>
        </w:rPr>
        <w:t xml:space="preserve"> </w:t>
      </w:r>
      <w:r>
        <w:rPr>
          <w:rFonts w:ascii="Arial" w:hAnsi="Arial"/>
        </w:rPr>
        <w:t>a także zaświadczenie, o którym mowa w art. 12 ust. 7 ustawy z dnia 7 lipca 1994 r. – Prawo budowlane;</w:t>
      </w:r>
    </w:p>
    <w:p w14:paraId="79437CB9" w14:textId="7A7DF414" w:rsidR="00000000" w:rsidRDefault="00000000">
      <w:pPr>
        <w:numPr>
          <w:ilvl w:val="0"/>
          <w:numId w:val="5"/>
        </w:numPr>
        <w:tabs>
          <w:tab w:val="left" w:pos="720"/>
        </w:tabs>
      </w:pPr>
      <w:r>
        <w:rPr>
          <w:rFonts w:ascii="Arial" w:hAnsi="Arial"/>
        </w:rPr>
        <w:t>informację zawierającą dane zamieszczone w ogłoszeniu, o którym mowa w art. 45a ust. 1 pkt 3 ustawy</w:t>
      </w:r>
      <w:r w:rsidR="00B602E5">
        <w:rPr>
          <w:rFonts w:ascii="Arial" w:hAnsi="Arial"/>
        </w:rPr>
        <w:t xml:space="preserve"> </w:t>
      </w:r>
      <w:r>
        <w:rPr>
          <w:rFonts w:ascii="Arial" w:hAnsi="Arial"/>
        </w:rPr>
        <w:t>z dnia 7 lipca 1994 r. – Prawo budowlane (zob. art. 41 ust. 4 ustawy z dnia 7 lipca 1994 r. – Prawo budowlane).</w:t>
      </w:r>
    </w:p>
    <w:p w14:paraId="2D14BEAB" w14:textId="77777777" w:rsidR="00000000" w:rsidRDefault="00000000">
      <w:pPr>
        <w:numPr>
          <w:ilvl w:val="0"/>
          <w:numId w:val="4"/>
        </w:numPr>
        <w:tabs>
          <w:tab w:val="left" w:pos="360"/>
        </w:tabs>
        <w:ind w:left="0" w:firstLine="57"/>
      </w:pPr>
      <w:r>
        <w:rPr>
          <w:rFonts w:ascii="Arial" w:hAnsi="Arial"/>
        </w:rPr>
        <w:t>Do użytkowania obiektu budowlanego, na budowę, którego wymagane jest pozwolenie na budowę, można przystąpić po zawiadomieniu właściwego organu nadzoru budowlanego o zakończeniu budowy, jeżeli organ ten, w terminie 14 dni od dnia doręczenia zawiadomienia, nie zgłosi sprzeciwu w drodze decyzji (zob. art. 54 ustawy z dnia 7 lipca 1994 r. – Prawo budowlane). Przed przystąpieniem do użytkowania obiektu budowlanego inwestor jest obowiązany uzyskać decyzję o pozwoleniu na użytkowanie, jeżeli na budowę obiektu budowlanego jest wymagane pozwolenie na budowę i jest on zaliczony do kategorii: V, IX-XVI, XVII (z wyjątkiem warsztatów rzemieślniczych, stacji obsługi pojazdów, myjni samochodowych i garaży do pięciu stanowisk włącznie), XVIII (z wyjątkiem obiektów magazynowych: budynki składowe, chłodnie, hangary i wiaty, a także budynków kolejowych: nastawnie, podstacje trakcyjne, lokomotywownie, wagonownie, strażnice przejazdowe i myjnie taboru kolejowego), XX, XXII (z wyjątkiem placów składowych, postojowych i parkingów), XXIV (z wyjątkiem stawów rybnych), XXVII (z wyjątkiem jazów, wałów przeciwpowodziowych, opasek i ostróg brzegowych oraz rowów melioracyjnych), XXVIII-XXX  (zob. art. 55 ust. 1 pkt 1 ustawy z dnia 7 lipca 1994 r.  –  Prawo budowlane).</w:t>
      </w:r>
    </w:p>
    <w:p w14:paraId="0FE36A89" w14:textId="77777777" w:rsidR="00000000" w:rsidRDefault="00000000">
      <w:pPr>
        <w:numPr>
          <w:ilvl w:val="0"/>
          <w:numId w:val="4"/>
        </w:numPr>
        <w:ind w:left="0" w:firstLine="0"/>
      </w:pPr>
      <w:r>
        <w:rPr>
          <w:rFonts w:ascii="Arial" w:hAnsi="Arial"/>
        </w:rPr>
        <w:t>Inwestor może przystąpić do użytkowania obiektu budowlanego przed wykonaniem wszystkich robót budowlanych pod warunkiem uzyskania decyzji o pozwoleniu na użytkowanie wydanej przez właściwy organ nadzoru budowlanego (zob. art. 55 ust. 1 pkt 3 ustawy z dnia 7 lipca 1994 r. – Prawo budowlane).</w:t>
      </w:r>
    </w:p>
    <w:p w14:paraId="227AB707" w14:textId="4D09A112" w:rsidR="00000000" w:rsidRDefault="00000000">
      <w:pPr>
        <w:numPr>
          <w:ilvl w:val="0"/>
          <w:numId w:val="4"/>
        </w:numPr>
        <w:ind w:left="0" w:firstLine="57"/>
      </w:pPr>
      <w:r>
        <w:rPr>
          <w:rFonts w:ascii="Arial" w:hAnsi="Arial"/>
        </w:rPr>
        <w:t>Inwestor zamiast dokonania zawiadomienia o zakończeniu budowy może wystąpić z wnioskiem o wydanie decyzji o pozwoleniu na użytkowanie (zob. art. 55 ust. 2 ustawy z dnia 7 lipca 1994r.– Prawo budowlane).</w:t>
      </w:r>
    </w:p>
    <w:p w14:paraId="58CC564B" w14:textId="77777777" w:rsidR="006A4EBA" w:rsidRDefault="00000000">
      <w:pPr>
        <w:numPr>
          <w:ilvl w:val="0"/>
          <w:numId w:val="4"/>
        </w:numPr>
        <w:ind w:left="57" w:firstLine="0"/>
      </w:pPr>
      <w:r>
        <w:rPr>
          <w:rFonts w:ascii="Arial" w:hAnsi="Arial"/>
        </w:rPr>
        <w:t>Przed wydaniem decyzji w sprawie pozwolenia na użytkowanie obiektu budowlanego właściwy organ nadzoru budowlanego przeprowadzi obowiązkową kontrolę budowy zgodnie z art. 59a ustawy z dnia 7 lipca 1994 r. – Prawo budowlane. (zob. art. 59 ust. 1 ustawy z dnia 7 lipca 1994 r. – Prawo budowlane). Wniosek o udzielenie pozwolenia na użytkowanie stanowi wezwanie właściwego organu do przeprowadzenia obowiązkowej kontroli budowy (zob. art. 57 ust. 6 ustawy z dnia 7 lipca 1994 r. – Prawo budowlane).</w:t>
      </w:r>
    </w:p>
    <w:sectPr w:rsidR="006A4EBA">
      <w:pgSz w:w="11906" w:h="16838"/>
      <w:pgMar w:top="1134" w:right="959" w:bottom="851" w:left="136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NewRomanPSMT">
    <w:altName w:val="Times New Roman"/>
    <w:charset w:val="00"/>
    <w:family w:val="roman"/>
    <w:pitch w:val="default"/>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50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Times New Roman" w:hAnsi="Times New Roman" w:cs="Times New Roman"/>
        <w:b w:val="0"/>
        <w:bCs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rPr>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val="0"/>
        <w:bCs w:val="0"/>
        <w:i w:val="0"/>
        <w:iCs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color w:val="000000"/>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16cid:durableId="1304432816">
    <w:abstractNumId w:val="0"/>
  </w:num>
  <w:num w:numId="2" w16cid:durableId="1611887551">
    <w:abstractNumId w:val="1"/>
  </w:num>
  <w:num w:numId="3" w16cid:durableId="995647649">
    <w:abstractNumId w:val="2"/>
  </w:num>
  <w:num w:numId="4" w16cid:durableId="1569805465">
    <w:abstractNumId w:val="3"/>
  </w:num>
  <w:num w:numId="5" w16cid:durableId="736561175">
    <w:abstractNumId w:val="4"/>
  </w:num>
  <w:num w:numId="6" w16cid:durableId="292253754">
    <w:abstractNumId w:val="5"/>
  </w:num>
  <w:num w:numId="7" w16cid:durableId="10398217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42"/>
    <w:rsid w:val="00012547"/>
    <w:rsid w:val="001C5FB9"/>
    <w:rsid w:val="00285F78"/>
    <w:rsid w:val="006A4EBA"/>
    <w:rsid w:val="009D58B8"/>
    <w:rsid w:val="00B602E5"/>
    <w:rsid w:val="00E952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2B16FD4"/>
  <w15:chartTrackingRefBased/>
  <w15:docId w15:val="{3B18693E-2A22-4E06-968E-C2C022ACE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sz w:val="24"/>
      <w:szCs w:val="24"/>
      <w:lang w:eastAsia="zh-CN"/>
    </w:rPr>
  </w:style>
  <w:style w:type="paragraph" w:styleId="Nagwek1">
    <w:name w:val="heading 1"/>
    <w:basedOn w:val="Nagwek4"/>
    <w:next w:val="Tekstpodstawowy"/>
    <w:qFormat/>
    <w:pPr>
      <w:numPr>
        <w:numId w:val="1"/>
      </w:numPr>
      <w:outlineLvl w:val="0"/>
    </w:pPr>
    <w:rPr>
      <w:b/>
      <w:bCs/>
      <w:sz w:val="36"/>
      <w:szCs w:val="36"/>
    </w:rPr>
  </w:style>
  <w:style w:type="paragraph" w:styleId="Nagwek5">
    <w:name w:val="heading 5"/>
    <w:basedOn w:val="Normalny"/>
    <w:next w:val="Normalny"/>
    <w:qFormat/>
    <w:pPr>
      <w:spacing w:before="240" w:after="60"/>
      <w:outlineLvl w:val="4"/>
    </w:pPr>
    <w:rPr>
      <w:b/>
      <w:bCs/>
      <w:i/>
      <w:iCs/>
      <w:sz w:val="26"/>
      <w:szCs w:val="26"/>
    </w:rPr>
  </w:style>
  <w:style w:type="paragraph" w:styleId="Nagwek9">
    <w:name w:val="heading 9"/>
    <w:basedOn w:val="Normalny"/>
    <w:next w:val="Normalny"/>
    <w:qFormat/>
    <w:pPr>
      <w:keepNext/>
      <w:numPr>
        <w:ilvl w:val="8"/>
        <w:numId w:val="1"/>
      </w:numPr>
      <w:snapToGrid w:val="0"/>
      <w:ind w:left="2124" w:right="-284" w:firstLine="0"/>
      <w:outlineLvl w:val="8"/>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b w:val="0"/>
      <w:bCs w:val="0"/>
      <w:sz w:val="22"/>
      <w:szCs w:val="22"/>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sz w:val="21"/>
      <w:szCs w:val="21"/>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OpenSymbol"/>
    </w:rPr>
  </w:style>
  <w:style w:type="character" w:customStyle="1" w:styleId="WW8Num5z1">
    <w:name w:val="WW8Num5z1"/>
    <w:rPr>
      <w:rFonts w:ascii="OpenSymbol" w:hAnsi="OpenSymbol" w:cs="OpenSymbol"/>
    </w:rPr>
  </w:style>
  <w:style w:type="character" w:customStyle="1" w:styleId="WW8Num6z0">
    <w:name w:val="WW8Num6z0"/>
    <w:rPr>
      <w:b w:val="0"/>
      <w:bCs w:val="0"/>
      <w:i w:val="0"/>
      <w:iCs w:val="0"/>
      <w:color w:val="000000"/>
      <w:sz w:val="24"/>
      <w:szCs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OpenSymbol"/>
      <w:color w:val="000000"/>
      <w:sz w:val="24"/>
      <w:szCs w:val="24"/>
    </w:rPr>
  </w:style>
  <w:style w:type="character" w:customStyle="1" w:styleId="WW8Num7z1">
    <w:name w:val="WW8Num7z1"/>
    <w:rPr>
      <w:rFonts w:ascii="OpenSymbol" w:hAnsi="OpenSymbol" w:cs="OpenSymbol"/>
    </w:rPr>
  </w:style>
  <w:style w:type="character" w:customStyle="1" w:styleId="WW8Num5z2">
    <w:name w:val="WW8Num5z2"/>
    <w:rPr>
      <w:rFonts w:ascii="Wingdings" w:hAnsi="Wingdings" w:cs="Wingdings" w:hint="default"/>
    </w:rPr>
  </w:style>
  <w:style w:type="character" w:customStyle="1" w:styleId="WW8Num7z2">
    <w:name w:val="WW8Num7z2"/>
    <w:rPr>
      <w:rFonts w:ascii="Wingdings" w:hAnsi="Wingdings" w:cs="Wingdings"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Symbol" w:hAnsi="Symbol" w:cs="Symbol" w:hint="default"/>
      <w:sz w:val="20"/>
    </w:rPr>
  </w:style>
  <w:style w:type="character" w:customStyle="1" w:styleId="WW8Num9z1">
    <w:name w:val="WW8Num9z1"/>
    <w:rPr>
      <w:rFonts w:ascii="Courier New" w:hAnsi="Courier New" w:cs="Courier New" w:hint="default"/>
      <w:sz w:val="20"/>
    </w:rPr>
  </w:style>
  <w:style w:type="character" w:customStyle="1" w:styleId="WW8Num9z2">
    <w:name w:val="WW8Num9z2"/>
    <w:rPr>
      <w:rFonts w:ascii="Wingdings" w:hAnsi="Wingdings" w:cs="Wingdings" w:hint="default"/>
      <w:sz w:val="20"/>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Domylnaczcionkaakapitu4">
    <w:name w:val="Domyślna czcionka akapitu4"/>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WW-Absatz-Standardschriftart111111111111111111111111111111111111111111111111111111111111111111111111111111">
    <w:name w:val="WW-Absatz-Standardschriftart111111111111111111111111111111111111111111111111111111111111111111111111111111"/>
  </w:style>
  <w:style w:type="character" w:customStyle="1" w:styleId="WW-Absatz-Standardschriftart1111111111111111111111111111111111111111111111111111111111111111111111111111111">
    <w:name w:val="WW-Absatz-Standardschriftart1111111111111111111111111111111111111111111111111111111111111111111111111111111"/>
  </w:style>
  <w:style w:type="character" w:customStyle="1" w:styleId="WW-Absatz-Standardschriftart11111111111111111111111111111111111111111111111111111111111111111111111111111111">
    <w:name w:val="WW-Absatz-Standardschriftart11111111111111111111111111111111111111111111111111111111111111111111111111111111"/>
  </w:style>
  <w:style w:type="character" w:customStyle="1" w:styleId="WW-Absatz-Standardschriftart111111111111111111111111111111111111111111111111111111111111111111111111111111111">
    <w:name w:val="WW-Absatz-Standardschriftart111111111111111111111111111111111111111111111111111111111111111111111111111111111"/>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style>
  <w:style w:type="character" w:customStyle="1" w:styleId="Domylnaczcionkaakapitu3">
    <w:name w:val="Domyślna czcionka akapitu3"/>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style>
  <w:style w:type="character" w:customStyle="1" w:styleId="Domylnaczcionkaakapitu2">
    <w:name w:val="Domyślna czcionka akapitu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style>
  <w:style w:type="character" w:customStyle="1" w:styleId="Domylnaczcionkaakapitu1">
    <w:name w:val="Domyślna czcionka akapitu1"/>
  </w:style>
  <w:style w:type="character" w:customStyle="1" w:styleId="Symbolewypunktowania">
    <w:name w:val="Symbole wypunktowania"/>
    <w:rPr>
      <w:rFonts w:ascii="OpenSymbol" w:eastAsia="OpenSymbol" w:hAnsi="OpenSymbol" w:cs="OpenSymbol"/>
    </w:rPr>
  </w:style>
  <w:style w:type="character" w:customStyle="1" w:styleId="Znakinumeracji">
    <w:name w:val="Znaki numeracji"/>
  </w:style>
  <w:style w:type="character" w:styleId="Hipercze">
    <w:name w:val="Hyperlink"/>
    <w:rPr>
      <w:color w:val="0000FF"/>
      <w:u w:val="single"/>
    </w:rPr>
  </w:style>
  <w:style w:type="character" w:customStyle="1" w:styleId="Znakiprzypiswkocowych">
    <w:name w:val="Znaki przypisów końcowych"/>
    <w:basedOn w:val="Domylnaczcionkaakapitu4"/>
    <w:rPr>
      <w:vertAlign w:val="superscript"/>
    </w:rPr>
  </w:style>
  <w:style w:type="character" w:customStyle="1" w:styleId="luchili">
    <w:name w:val="luc_hili"/>
    <w:basedOn w:val="Domylnaczcionkaakapitu1"/>
  </w:style>
  <w:style w:type="character" w:customStyle="1" w:styleId="markedcontent">
    <w:name w:val="markedcontent"/>
    <w:basedOn w:val="Domylnaczcionkaakapitu4"/>
    <w:rPr>
      <w:rFonts w:cs="Times New Roman"/>
    </w:rPr>
  </w:style>
  <w:style w:type="character" w:customStyle="1" w:styleId="displayonlyapex-item-display-only">
    <w:name w:val="display_only apex-item-display-only"/>
    <w:basedOn w:val="Domylnaczcionkaakapitu4"/>
  </w:style>
  <w:style w:type="character" w:customStyle="1" w:styleId="displayonly">
    <w:name w:val="display_only"/>
    <w:basedOn w:val="Domylnaczcionkaakapitu4"/>
  </w:style>
  <w:style w:type="character" w:customStyle="1" w:styleId="txt-new">
    <w:name w:val="txt-new"/>
    <w:basedOn w:val="Domylnaczcionkaakapitu4"/>
  </w:style>
  <w:style w:type="character" w:customStyle="1" w:styleId="fontstyle01">
    <w:name w:val="fontstyle01"/>
    <w:rPr>
      <w:rFonts w:ascii="TimesNewRomanPSMT" w:hAnsi="TimesNewRomanPSMT" w:cs="TimesNewRomanPSMT" w:hint="default"/>
      <w:b w:val="0"/>
      <w:bCs w:val="0"/>
      <w:i w:val="0"/>
      <w:iCs w:val="0"/>
      <w:color w:val="000000"/>
      <w:sz w:val="22"/>
      <w:szCs w:val="22"/>
    </w:rPr>
  </w:style>
  <w:style w:type="character" w:styleId="Pogrubienie">
    <w:name w:val="Strong"/>
    <w:qFormat/>
    <w:rPr>
      <w:b/>
      <w:bCs/>
    </w:rPr>
  </w:style>
  <w:style w:type="character" w:customStyle="1" w:styleId="Znakiwypunktowania">
    <w:name w:val="Znaki wypunktowania"/>
    <w:rPr>
      <w:rFonts w:ascii="OpenSymbol" w:eastAsia="OpenSymbol" w:hAnsi="OpenSymbol" w:cs="OpenSymbol"/>
    </w:rPr>
  </w:style>
  <w:style w:type="paragraph" w:customStyle="1" w:styleId="Nagwek4">
    <w:name w:val="Nagłówek4"/>
    <w:basedOn w:val="Normalny"/>
    <w:next w:val="Tekstpodstawowy"/>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20"/>
    </w:pPr>
  </w:style>
  <w:style w:type="paragraph" w:styleId="Lista">
    <w:name w:val="List"/>
    <w:basedOn w:val="Tekstpodstawowy"/>
    <w:rPr>
      <w:rFonts w:cs="Tahoma"/>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pPr>
      <w:suppressLineNumbers/>
    </w:pPr>
    <w:rPr>
      <w:rFonts w:cs="Tahoma"/>
    </w:rPr>
  </w:style>
  <w:style w:type="paragraph" w:customStyle="1" w:styleId="Nagwek3">
    <w:name w:val="Nagłówek3"/>
    <w:basedOn w:val="Normalny"/>
    <w:next w:val="Tekstpodstawowy"/>
    <w:pPr>
      <w:keepNext/>
      <w:spacing w:before="240" w:after="120"/>
    </w:pPr>
    <w:rPr>
      <w:rFonts w:ascii="Arial" w:eastAsia="Lucida Sans Unicode" w:hAnsi="Arial" w:cs="Tahoma"/>
      <w:sz w:val="28"/>
      <w:szCs w:val="28"/>
    </w:rPr>
  </w:style>
  <w:style w:type="paragraph" w:customStyle="1" w:styleId="Podpis3">
    <w:name w:val="Podpis3"/>
    <w:basedOn w:val="Normalny"/>
    <w:pPr>
      <w:suppressLineNumbers/>
      <w:spacing w:before="120" w:after="120"/>
    </w:pPr>
    <w:rPr>
      <w:rFonts w:cs="Tahoma"/>
      <w:i/>
      <w:iCs/>
    </w:rPr>
  </w:style>
  <w:style w:type="paragraph" w:customStyle="1" w:styleId="Nagwek2">
    <w:name w:val="Nagłówek2"/>
    <w:basedOn w:val="Normalny"/>
    <w:next w:val="Tekstpodstawowy"/>
    <w:pPr>
      <w:keepNext/>
      <w:spacing w:before="240" w:after="120"/>
    </w:pPr>
    <w:rPr>
      <w:rFonts w:ascii="Arial" w:eastAsia="Lucida Sans Unicode" w:hAnsi="Arial" w:cs="Tahoma"/>
      <w:sz w:val="28"/>
      <w:szCs w:val="28"/>
    </w:rPr>
  </w:style>
  <w:style w:type="paragraph" w:customStyle="1" w:styleId="Podpis2">
    <w:name w:val="Podpis2"/>
    <w:basedOn w:val="Normalny"/>
    <w:pPr>
      <w:suppressLineNumbers/>
      <w:spacing w:before="120" w:after="120"/>
    </w:pPr>
    <w:rPr>
      <w:rFonts w:cs="Tahoma"/>
      <w:i/>
      <w:iCs/>
    </w:rPr>
  </w:style>
  <w:style w:type="paragraph" w:customStyle="1" w:styleId="Nagwek10">
    <w:name w:val="Nagłówek1"/>
    <w:basedOn w:val="Normalny"/>
    <w:next w:val="Tekstpodstawowy"/>
    <w:pPr>
      <w:keepNext/>
      <w:spacing w:before="240" w:after="120"/>
    </w:pPr>
    <w:rPr>
      <w:rFonts w:ascii="Arial" w:eastAsia="Lucida Sans Unicode" w:hAnsi="Arial" w:cs="Tahoma"/>
      <w:sz w:val="28"/>
      <w:szCs w:val="28"/>
    </w:rPr>
  </w:style>
  <w:style w:type="paragraph" w:customStyle="1" w:styleId="Podpis1">
    <w:name w:val="Podpis1"/>
    <w:basedOn w:val="Normalny"/>
    <w:pPr>
      <w:suppressLineNumbers/>
      <w:spacing w:before="120" w:after="120"/>
    </w:pPr>
    <w:rPr>
      <w:rFonts w:cs="Tahoma"/>
      <w:i/>
      <w:iCs/>
    </w:rPr>
  </w:style>
  <w:style w:type="paragraph" w:styleId="Tekstpodstawowywcity">
    <w:name w:val="Body Text Indent"/>
    <w:basedOn w:val="Normalny"/>
    <w:pPr>
      <w:snapToGrid w:val="0"/>
    </w:pPr>
    <w:rPr>
      <w:b/>
      <w:szCs w:val="20"/>
    </w:rPr>
  </w:style>
  <w:style w:type="paragraph" w:customStyle="1" w:styleId="Tekstpodstawowy31">
    <w:name w:val="Tekst podstawowy 31"/>
    <w:basedOn w:val="Normalny"/>
    <w:pPr>
      <w:spacing w:line="360" w:lineRule="auto"/>
      <w:ind w:right="-284"/>
    </w:pPr>
    <w:rPr>
      <w:szCs w:val="20"/>
    </w:rPr>
  </w:style>
  <w:style w:type="paragraph" w:customStyle="1" w:styleId="Tekstblokowy1">
    <w:name w:val="Tekst blokowy1"/>
    <w:basedOn w:val="Normalny"/>
    <w:pPr>
      <w:tabs>
        <w:tab w:val="left" w:pos="-28256"/>
      </w:tabs>
      <w:snapToGrid w:val="0"/>
      <w:ind w:left="284" w:right="-284" w:hanging="284"/>
    </w:pPr>
    <w:rPr>
      <w:szCs w:val="20"/>
    </w:rPr>
  </w:style>
  <w:style w:type="paragraph" w:customStyle="1" w:styleId="BodyText23">
    <w:name w:val="Body Text 23"/>
    <w:basedOn w:val="Normalny"/>
    <w:pPr>
      <w:spacing w:after="120"/>
      <w:ind w:right="-284"/>
    </w:pPr>
    <w:rPr>
      <w:szCs w:val="20"/>
    </w:rPr>
  </w:style>
  <w:style w:type="paragraph" w:customStyle="1" w:styleId="Tekstpodstawowy21">
    <w:name w:val="Tekst podstawowy 21"/>
    <w:basedOn w:val="Normalny"/>
    <w:pPr>
      <w:ind w:right="-284"/>
    </w:pPr>
    <w:rPr>
      <w:b/>
    </w:rPr>
  </w:style>
  <w:style w:type="paragraph" w:customStyle="1" w:styleId="Tekstpodstawowy32">
    <w:name w:val="Tekst podstawowy 32"/>
    <w:basedOn w:val="Normalny"/>
    <w:pPr>
      <w:spacing w:line="360" w:lineRule="auto"/>
      <w:ind w:right="-284"/>
    </w:pPr>
    <w:rPr>
      <w:szCs w:val="20"/>
    </w:rPr>
  </w:style>
  <w:style w:type="paragraph" w:customStyle="1" w:styleId="Tekstwstpniesformatowany">
    <w:name w:val="Tekst wstępnie sformatowany"/>
    <w:basedOn w:val="Normalny"/>
    <w:rPr>
      <w:rFonts w:ascii="Courier New" w:eastAsia="Courier New" w:hAnsi="Courier New" w:cs="Courier New"/>
      <w:sz w:val="20"/>
      <w:szCs w:val="20"/>
    </w:rPr>
  </w:style>
  <w:style w:type="paragraph" w:customStyle="1" w:styleId="western">
    <w:name w:val="western"/>
    <w:basedOn w:val="Normalny"/>
    <w:pPr>
      <w:suppressAutoHyphens w:val="0"/>
      <w:spacing w:before="280" w:after="119"/>
    </w:pPr>
    <w:rPr>
      <w:color w:val="000000"/>
    </w:rPr>
  </w:style>
  <w:style w:type="paragraph" w:styleId="Tekstprzypisukocowego">
    <w:name w:val="endnote text"/>
    <w:basedOn w:val="Normalny"/>
    <w:rPr>
      <w:sz w:val="20"/>
      <w:szCs w:val="20"/>
    </w:rPr>
  </w:style>
  <w:style w:type="paragraph" w:styleId="NormalnyWeb">
    <w:name w:val="Normal (Web)"/>
    <w:basedOn w:val="Normalny"/>
    <w:pPr>
      <w:suppressAutoHyphens w:val="0"/>
      <w:spacing w:before="280" w:after="280"/>
    </w:pPr>
    <w:rPr>
      <w:color w:val="000000"/>
    </w:rPr>
  </w:style>
  <w:style w:type="paragraph" w:customStyle="1" w:styleId="Tekstpodstawowy33">
    <w:name w:val="Tekst podstawowy 33"/>
    <w:basedOn w:val="Normalny"/>
    <w:pPr>
      <w:spacing w:after="120"/>
    </w:pPr>
    <w:rPr>
      <w:sz w:val="16"/>
      <w:szCs w:val="16"/>
    </w:rPr>
  </w:style>
  <w:style w:type="paragraph" w:customStyle="1" w:styleId="Default">
    <w:name w:val="Default"/>
    <w:pPr>
      <w:widowControl w:val="0"/>
      <w:suppressAutoHyphens/>
    </w:pPr>
    <w:rPr>
      <w:rFonts w:eastAsia="NSimSun" w:cs="Arial"/>
      <w:color w:val="000000"/>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1804</Words>
  <Characters>10826</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Decyzja</vt:lpstr>
    </vt:vector>
  </TitlesOfParts>
  <Company/>
  <LinksUpToDate>false</LinksUpToDate>
  <CharactersWithSpaces>12605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II-226/2026 z dnia 31.07.2026 r.</dc:title>
  <dc:subject/>
  <dc:creator>mmadejska</dc:creator>
  <cp:keywords/>
  <cp:lastModifiedBy>Anna Nowak</cp:lastModifiedBy>
  <cp:revision>3</cp:revision>
  <cp:lastPrinted>2026-10-12T07:10:00Z</cp:lastPrinted>
  <dcterms:created xsi:type="dcterms:W3CDTF">2026-10-12T10:04:00Z</dcterms:created>
  <dcterms:modified xsi:type="dcterms:W3CDTF">2026-10-12T10:05:00Z</dcterms:modified>
</cp:coreProperties>
</file>