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6B00DF" w14:textId="77777777" w:rsidR="005557FA" w:rsidRDefault="00C77D2F">
      <w:pPr>
        <w:pStyle w:val="Tytu"/>
        <w:spacing w:after="0"/>
        <w:jc w:val="left"/>
      </w:pPr>
      <w:r>
        <w:rPr>
          <w:rFonts w:ascii="Arial" w:hAnsi="Arial" w:cs="Arial"/>
          <w:sz w:val="24"/>
          <w:szCs w:val="28"/>
        </w:rPr>
        <w:t>WYKAZ NIERUCHOMOŚCI PRZEZNACZONEJ DO SPRZEDAŻY W TRYBIE PRZETARGOWYM</w:t>
      </w:r>
    </w:p>
    <w:p w14:paraId="0F0D5B42" w14:textId="77777777" w:rsidR="005557FA" w:rsidRDefault="00C77D2F">
      <w:pPr>
        <w:pStyle w:val="Nagwek1"/>
        <w:ind w:left="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Na podstawie art. 35 ustawy z dnia 21 sierpnia 1997 r. o gospodarce nieruchomościami (</w:t>
      </w:r>
      <w:proofErr w:type="spellStart"/>
      <w:r>
        <w:rPr>
          <w:rFonts w:ascii="Arial" w:hAnsi="Arial" w:cs="Arial"/>
          <w:b w:val="0"/>
          <w:sz w:val="20"/>
          <w:szCs w:val="20"/>
        </w:rPr>
        <w:t>t.j</w:t>
      </w:r>
      <w:proofErr w:type="spellEnd"/>
      <w:r>
        <w:rPr>
          <w:rFonts w:ascii="Arial" w:hAnsi="Arial" w:cs="Arial"/>
          <w:b w:val="0"/>
          <w:sz w:val="20"/>
          <w:szCs w:val="20"/>
        </w:rPr>
        <w:t>. Dz. U. z 2026 r. poz. 399 ze zm.) podaję do publicznej wiadomości na okres 21 dni tj. od dnia 09 września 2026 r. do dnia 30 września 2026 r wykaz obejmujący nieruchomość Gminy Olsztyn, z przeznaczeniem do sprzedaży w drodze przetargu ustnego nieograniczonego.</w:t>
      </w:r>
    </w:p>
    <w:tbl>
      <w:tblPr>
        <w:tblStyle w:val="Tabela-Siatka"/>
        <w:tblW w:w="13608" w:type="dxa"/>
        <w:tblInd w:w="-5" w:type="dxa"/>
        <w:tblLayout w:type="fixed"/>
        <w:tblLook w:val="04A0" w:firstRow="1" w:lastRow="0" w:firstColumn="1" w:lastColumn="0" w:noHBand="0" w:noVBand="1"/>
        <w:tblCaption w:val="Wykaz nieruchomości przeznaczonej do sprzedaży w trybie przetargowym"/>
      </w:tblPr>
      <w:tblGrid>
        <w:gridCol w:w="512"/>
        <w:gridCol w:w="1899"/>
        <w:gridCol w:w="1560"/>
        <w:gridCol w:w="1701"/>
        <w:gridCol w:w="709"/>
        <w:gridCol w:w="1558"/>
        <w:gridCol w:w="1844"/>
        <w:gridCol w:w="1842"/>
        <w:gridCol w:w="1983"/>
      </w:tblGrid>
      <w:tr w:rsidR="005557FA" w14:paraId="01064002" w14:textId="77777777">
        <w:trPr>
          <w:trHeight w:val="1804"/>
          <w:tblHeader/>
        </w:trPr>
        <w:tc>
          <w:tcPr>
            <w:tcW w:w="511" w:type="dxa"/>
          </w:tcPr>
          <w:p w14:paraId="0E72AA34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1898" w:type="dxa"/>
          </w:tcPr>
          <w:p w14:paraId="5FF83B58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Położenie nieruchomości</w:t>
            </w:r>
          </w:p>
        </w:tc>
        <w:tc>
          <w:tcPr>
            <w:tcW w:w="1560" w:type="dxa"/>
          </w:tcPr>
          <w:p w14:paraId="5109907C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Oznaczenie nieruchomości w ewidencji gruntów i budynków (obręb-nr działki)</w:t>
            </w:r>
          </w:p>
        </w:tc>
        <w:tc>
          <w:tcPr>
            <w:tcW w:w="1701" w:type="dxa"/>
          </w:tcPr>
          <w:p w14:paraId="76F8C600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Oznaczenie nieruchomości według księgi wieczystej</w:t>
            </w:r>
          </w:p>
        </w:tc>
        <w:tc>
          <w:tcPr>
            <w:tcW w:w="709" w:type="dxa"/>
          </w:tcPr>
          <w:p w14:paraId="40D0EFDA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Pow. (m2)</w:t>
            </w:r>
          </w:p>
        </w:tc>
        <w:tc>
          <w:tcPr>
            <w:tcW w:w="1558" w:type="dxa"/>
          </w:tcPr>
          <w:p w14:paraId="2A8E4FCB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Opis nieruchomości</w:t>
            </w:r>
          </w:p>
        </w:tc>
        <w:tc>
          <w:tcPr>
            <w:tcW w:w="1844" w:type="dxa"/>
          </w:tcPr>
          <w:p w14:paraId="3097F12B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Przeznaczenie w miejscowym planie zagospodarowania przestrzennego lub  w planie ogólnym</w:t>
            </w:r>
          </w:p>
        </w:tc>
        <w:tc>
          <w:tcPr>
            <w:tcW w:w="1842" w:type="dxa"/>
          </w:tcPr>
          <w:p w14:paraId="500BD0F7" w14:textId="77777777" w:rsidR="005557FA" w:rsidRDefault="00C77D2F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Forma przekazania</w:t>
            </w:r>
          </w:p>
        </w:tc>
        <w:tc>
          <w:tcPr>
            <w:tcW w:w="1983" w:type="dxa"/>
          </w:tcPr>
          <w:p w14:paraId="705C8578" w14:textId="77777777" w:rsidR="005557FA" w:rsidRDefault="00C77D2F">
            <w:pPr>
              <w:pStyle w:val="Nagwek1"/>
              <w:spacing w:before="0" w:after="0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Cena nieruchomości:</w:t>
            </w:r>
          </w:p>
          <w:p w14:paraId="28794275" w14:textId="77777777" w:rsidR="005557FA" w:rsidRDefault="00C77D2F" w:rsidP="00BE1E69">
            <w:pPr>
              <w:pStyle w:val="Tekstpodstawowy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a/ cena budynku</w:t>
            </w:r>
          </w:p>
          <w:p w14:paraId="4EF751B4" w14:textId="77777777" w:rsidR="005557FA" w:rsidRDefault="00C77D2F" w:rsidP="00BE1E69">
            <w:pPr>
              <w:pStyle w:val="Tekstpodstawowy"/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 cena gruntu</w:t>
            </w:r>
          </w:p>
        </w:tc>
      </w:tr>
      <w:tr w:rsidR="005557FA" w14:paraId="7BE74B73" w14:textId="77777777">
        <w:trPr>
          <w:trHeight w:val="1572"/>
          <w:tblHeader/>
        </w:trPr>
        <w:tc>
          <w:tcPr>
            <w:tcW w:w="511" w:type="dxa"/>
          </w:tcPr>
          <w:p w14:paraId="67D2497E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898" w:type="dxa"/>
          </w:tcPr>
          <w:p w14:paraId="095A4C88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Mickiewicza 27</w:t>
            </w:r>
          </w:p>
        </w:tc>
        <w:tc>
          <w:tcPr>
            <w:tcW w:w="1560" w:type="dxa"/>
          </w:tcPr>
          <w:p w14:paraId="6836AF9B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71-96</w:t>
            </w:r>
          </w:p>
        </w:tc>
        <w:tc>
          <w:tcPr>
            <w:tcW w:w="1701" w:type="dxa"/>
          </w:tcPr>
          <w:p w14:paraId="14FBC1FA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OL1O/00035071/5</w:t>
            </w:r>
          </w:p>
        </w:tc>
        <w:tc>
          <w:tcPr>
            <w:tcW w:w="709" w:type="dxa"/>
          </w:tcPr>
          <w:p w14:paraId="194D402E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462</w:t>
            </w:r>
          </w:p>
        </w:tc>
        <w:tc>
          <w:tcPr>
            <w:tcW w:w="1558" w:type="dxa"/>
          </w:tcPr>
          <w:p w14:paraId="43A3EC91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zabudowana budynkiem mieszkalnym wpisanym do rejestru zabytków pod numerem A</w:t>
            </w:r>
            <w:r>
              <w:rPr>
                <w:rFonts w:ascii="Arial" w:hAnsi="Arial" w:cs="Arial"/>
                <w:sz w:val="18"/>
                <w:szCs w:val="18"/>
              </w:rPr>
              <w:noBreakHyphen/>
              <w:t>1832</w:t>
            </w:r>
          </w:p>
        </w:tc>
        <w:tc>
          <w:tcPr>
            <w:tcW w:w="1844" w:type="dxa"/>
          </w:tcPr>
          <w:p w14:paraId="02B757F0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przestrzennego; w planie ogólnym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349SW </w:t>
            </w:r>
            <w:r>
              <w:rPr>
                <w:rFonts w:ascii="Arial" w:hAnsi="Arial" w:cs="Arial"/>
                <w:sz w:val="18"/>
                <w:szCs w:val="18"/>
              </w:rPr>
              <w:t xml:space="preserve">- strefa wielofunkcyjna z zabudową mieszkaniową wielorodzinną,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10ZS </w:t>
            </w:r>
            <w:r>
              <w:rPr>
                <w:rFonts w:ascii="Arial" w:hAnsi="Arial" w:cs="Arial"/>
                <w:sz w:val="18"/>
                <w:szCs w:val="18"/>
              </w:rPr>
              <w:t xml:space="preserve">- obszar zabudowy śródmiejskiej,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350UZ </w:t>
            </w:r>
            <w:r>
              <w:rPr>
                <w:rFonts w:ascii="Arial" w:hAnsi="Arial" w:cs="Arial"/>
                <w:sz w:val="18"/>
                <w:szCs w:val="18"/>
              </w:rPr>
              <w:t>- obszar uzupełnienia zabudowy</w:t>
            </w:r>
          </w:p>
        </w:tc>
        <w:tc>
          <w:tcPr>
            <w:tcW w:w="1842" w:type="dxa"/>
          </w:tcPr>
          <w:p w14:paraId="4EB53CD2" w14:textId="77777777" w:rsidR="005557FA" w:rsidRDefault="00C77D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sprzedaż w drodze przetargu  ustnego nieograniczonego </w:t>
            </w:r>
          </w:p>
        </w:tc>
        <w:tc>
          <w:tcPr>
            <w:tcW w:w="1983" w:type="dxa"/>
          </w:tcPr>
          <w:p w14:paraId="19EB2BB2" w14:textId="77777777" w:rsidR="005557FA" w:rsidRDefault="00C77D2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3 700 000,00 zł</w:t>
            </w:r>
          </w:p>
          <w:p w14:paraId="6DF80941" w14:textId="77777777" w:rsidR="005557FA" w:rsidRDefault="00C77D2F" w:rsidP="00BE1E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a/ 3 253 000,00 zł</w:t>
            </w:r>
          </w:p>
          <w:p w14:paraId="5F87E84A" w14:textId="77777777" w:rsidR="005557FA" w:rsidRDefault="00C77D2F" w:rsidP="00BE1E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b/ 447 000,00 zł</w:t>
            </w:r>
          </w:p>
        </w:tc>
      </w:tr>
    </w:tbl>
    <w:p w14:paraId="7346828B" w14:textId="77777777" w:rsidR="005557FA" w:rsidRDefault="00C77D2F">
      <w:pPr>
        <w:pStyle w:val="Nagwek2"/>
        <w:numPr>
          <w:ilvl w:val="0"/>
          <w:numId w:val="0"/>
        </w:numPr>
        <w:tabs>
          <w:tab w:val="left" w:pos="3544"/>
        </w:tabs>
        <w:spacing w:befor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Art. 35 ust. 2 pkt 7,8,9 ww. ustawy – nie dotyczy</w:t>
      </w:r>
    </w:p>
    <w:p w14:paraId="730B13CA" w14:textId="77777777" w:rsidR="005557FA" w:rsidRDefault="00C77D2F">
      <w:pPr>
        <w:pStyle w:val="Nagwek2"/>
        <w:tabs>
          <w:tab w:val="left" w:pos="3544"/>
        </w:tabs>
        <w:spacing w:before="0" w:after="0"/>
        <w:ind w:left="0" w:hanging="9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Uwaga! Osoby, którym przysługuje pierwszeństwo w nabyciu nieruchomości na podstawie art. 34 ust. 1 pkt. 1 i 2 ustawy z dnia 21 sierpnia 1997 r. o gospodarce nieruchomościami (</w:t>
      </w:r>
      <w:proofErr w:type="spellStart"/>
      <w:r>
        <w:rPr>
          <w:rFonts w:ascii="Arial" w:hAnsi="Arial" w:cs="Arial"/>
          <w:b w:val="0"/>
          <w:sz w:val="20"/>
          <w:szCs w:val="20"/>
        </w:rPr>
        <w:t>t.j</w:t>
      </w:r>
      <w:proofErr w:type="spellEnd"/>
      <w:r>
        <w:rPr>
          <w:rFonts w:ascii="Arial" w:hAnsi="Arial" w:cs="Arial"/>
          <w:b w:val="0"/>
          <w:sz w:val="20"/>
          <w:szCs w:val="20"/>
        </w:rPr>
        <w:t>. Dz. U. z 2026 r. poz. 399 ze zm.) winny złożyć wnioski w terminie 6 tygodni od daty podania niniejszego wykazu Sprzedaż nieruchomości zwolniona z podatku VAT na podstawie art.43 ust.1 pkt.10 oraz art.29a ust.8 ustawy z dnia 11 marca 2004 r. o  podatku od towarów i usług (</w:t>
      </w:r>
      <w:proofErr w:type="spellStart"/>
      <w:r>
        <w:rPr>
          <w:rFonts w:ascii="Arial" w:hAnsi="Arial" w:cs="Arial"/>
          <w:b w:val="0"/>
          <w:sz w:val="20"/>
          <w:szCs w:val="20"/>
        </w:rPr>
        <w:t>t.j.Dz.U.z</w:t>
      </w:r>
      <w:proofErr w:type="spellEnd"/>
      <w:r>
        <w:rPr>
          <w:rFonts w:ascii="Arial" w:hAnsi="Arial" w:cs="Arial"/>
          <w:b w:val="0"/>
          <w:sz w:val="20"/>
          <w:szCs w:val="20"/>
        </w:rPr>
        <w:t xml:space="preserve"> 2025 r. poz.775 ze zm.) </w:t>
      </w:r>
    </w:p>
    <w:p w14:paraId="0B0331FC" w14:textId="77777777" w:rsidR="005557FA" w:rsidRDefault="00C77D2F">
      <w:pPr>
        <w:pStyle w:val="Nagwek2"/>
        <w:numPr>
          <w:ilvl w:val="0"/>
          <w:numId w:val="0"/>
        </w:numPr>
        <w:tabs>
          <w:tab w:val="left" w:pos="3544"/>
        </w:tabs>
        <w:spacing w:before="0" w:after="0"/>
        <w:rPr>
          <w:rFonts w:ascii="Arial" w:hAnsi="Arial" w:cs="Arial"/>
          <w:b w:val="0"/>
          <w:sz w:val="20"/>
          <w:szCs w:val="20"/>
          <w:u w:val="single"/>
        </w:rPr>
      </w:pPr>
      <w:r>
        <w:rPr>
          <w:rFonts w:ascii="Arial" w:hAnsi="Arial" w:cs="Arial"/>
          <w:b w:val="0"/>
          <w:sz w:val="20"/>
          <w:szCs w:val="20"/>
        </w:rPr>
        <w:t xml:space="preserve">Wykaz znajduje się w Biuletynie Informacji Publicznej, prowadzonym przez Urząd Miasta Olsztyna, pod adresem </w:t>
      </w:r>
      <w:hyperlink r:id="rId6">
        <w:r>
          <w:rPr>
            <w:rStyle w:val="Hipercze"/>
            <w:rFonts w:ascii="Arial" w:hAnsi="Arial" w:cs="Arial"/>
            <w:b w:val="0"/>
            <w:sz w:val="20"/>
            <w:szCs w:val="20"/>
          </w:rPr>
          <w:t>bip.olsztyn.eu</w:t>
        </w:r>
      </w:hyperlink>
      <w:r>
        <w:rPr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 xml:space="preserve">i na elektronicznej tablicy ogłoszeń ETO. </w:t>
      </w:r>
    </w:p>
    <w:p w14:paraId="14A13EEE" w14:textId="77777777" w:rsidR="005557FA" w:rsidRDefault="00C77D2F">
      <w:pPr>
        <w:pStyle w:val="Standard"/>
        <w:tabs>
          <w:tab w:val="left" w:pos="3544"/>
        </w:tabs>
      </w:pPr>
      <w:r>
        <w:t>Informacja:</w:t>
      </w:r>
    </w:p>
    <w:p w14:paraId="08F7F4A6" w14:textId="77777777" w:rsidR="005557FA" w:rsidRDefault="00C77D2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tel. 89 50 60 332</w:t>
      </w:r>
    </w:p>
    <w:p w14:paraId="2B714305" w14:textId="77777777" w:rsidR="005557FA" w:rsidRDefault="00C77D2F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Urząd Miasta, pok. 110</w:t>
      </w:r>
    </w:p>
    <w:p w14:paraId="3324F1EE" w14:textId="77777777" w:rsidR="005557FA" w:rsidRDefault="005557FA">
      <w:pPr>
        <w:widowControl/>
        <w:suppressAutoHyphens w:val="0"/>
      </w:pPr>
    </w:p>
    <w:sectPr w:rsidR="005557FA">
      <w:pgSz w:w="16838" w:h="11906" w:orient="landscape"/>
      <w:pgMar w:top="426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altName w:val="Cambria"/>
    <w:charset w:val="EE"/>
    <w:family w:val="roman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916810"/>
    <w:multiLevelType w:val="multilevel"/>
    <w:tmpl w:val="E7AE8B7A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12C2254"/>
    <w:multiLevelType w:val="multilevel"/>
    <w:tmpl w:val="41D871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5860159">
    <w:abstractNumId w:val="0"/>
  </w:num>
  <w:num w:numId="2" w16cid:durableId="1276794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/>
  <w:defaultTabStop w:val="708"/>
  <w:autoHyphenation/>
  <w:hyphenationZone w:val="425"/>
  <w:doNotHyphenateCaps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FA"/>
    <w:rsid w:val="005557FA"/>
    <w:rsid w:val="00A3484B"/>
    <w:rsid w:val="00BE1E69"/>
    <w:rsid w:val="00C77D2F"/>
    <w:rsid w:val="00F15549"/>
    <w:rsid w:val="00F5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6352B"/>
  <w15:docId w15:val="{40831D25-0067-4D9A-BC82-C3649FF6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widowControl w:val="0"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Domylnaczcionkaakapitu2">
    <w:name w:val="Domyślna czcionka akapitu2"/>
    <w:qFormat/>
  </w:style>
  <w:style w:type="character" w:customStyle="1" w:styleId="Domylnaczcionkaakapitu1">
    <w:name w:val="Domyślna czcionka akapitu1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Domylnaczcionkaakapitu3">
    <w:name w:val="Domyślna czcionka akapitu3"/>
    <w:qFormat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qFormat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qFormat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qFormat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qFormat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qFormat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qFormat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qFormat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qFormat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qFormat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  <w:qFormat/>
  </w:style>
  <w:style w:type="character" w:customStyle="1" w:styleId="item-fieldvalue">
    <w:name w:val="item-fieldvalue"/>
    <w:qFormat/>
    <w:rsid w:val="000D7B62"/>
  </w:style>
  <w:style w:type="character" w:customStyle="1" w:styleId="TekstdymkaZnak">
    <w:name w:val="Tekst dymka Znak"/>
    <w:link w:val="Tekstdymka"/>
    <w:qFormat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character" w:customStyle="1" w:styleId="StandardZnak">
    <w:name w:val="Standard Znak"/>
    <w:basedOn w:val="Domylnaczcionkaakapitu"/>
    <w:link w:val="Standard"/>
    <w:qFormat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qFormat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qFormat/>
    <w:rsid w:val="00E643BF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character" w:customStyle="1" w:styleId="Nagwek1Znak">
    <w:name w:val="Nagłówek 1 Znak"/>
    <w:basedOn w:val="Domylnaczcionkaakapitu"/>
    <w:link w:val="Nagwek1"/>
    <w:qFormat/>
    <w:rsid w:val="006871C8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qFormat/>
    <w:rsid w:val="006871C8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paragraph" w:styleId="Nagwek">
    <w:name w:val="header"/>
    <w:basedOn w:val="Normalny"/>
    <w:next w:val="Tekstpodstawowy"/>
    <w:pPr>
      <w:suppressLineNumbers/>
      <w:tabs>
        <w:tab w:val="center" w:pos="7001"/>
        <w:tab w:val="right" w:pos="14002"/>
      </w:tabs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</w:style>
  <w:style w:type="paragraph" w:customStyle="1" w:styleId="Nagwek30">
    <w:name w:val="Nagłówek3"/>
    <w:basedOn w:val="Nagwek20"/>
    <w:next w:val="Tekstpodstawowy"/>
    <w:qFormat/>
    <w:pPr>
      <w:jc w:val="center"/>
    </w:pPr>
    <w:rPr>
      <w:b/>
      <w:bCs/>
      <w:sz w:val="56"/>
      <w:szCs w:val="56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qFormat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qFormat/>
    <w:pPr>
      <w:spacing w:before="120" w:after="120"/>
    </w:pPr>
    <w:rPr>
      <w:i/>
      <w:iCs/>
    </w:rPr>
  </w:style>
  <w:style w:type="paragraph" w:customStyle="1" w:styleId="WW-header">
    <w:name w:val="WW-header"/>
    <w:basedOn w:val="Normalny"/>
    <w:next w:val="Tekstpodstawowy"/>
    <w:qFormat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qFormat/>
    <w:pPr>
      <w:spacing w:before="120" w:after="120"/>
    </w:pPr>
    <w:rPr>
      <w:i/>
      <w:iCs/>
    </w:rPr>
  </w:style>
  <w:style w:type="paragraph" w:customStyle="1" w:styleId="WW-Index">
    <w:name w:val="WW-Index"/>
    <w:basedOn w:val="Normalny"/>
    <w:qFormat/>
  </w:style>
  <w:style w:type="paragraph" w:customStyle="1" w:styleId="WW-header1">
    <w:name w:val="WW-header1"/>
    <w:basedOn w:val="Normalny"/>
    <w:next w:val="Tekstpodstawowy"/>
    <w:qFormat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qFormat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  <w:qFormat/>
  </w:style>
  <w:style w:type="paragraph" w:customStyle="1" w:styleId="Standard">
    <w:name w:val="Standard"/>
    <w:link w:val="StandardZnak"/>
    <w:qFormat/>
    <w:pPr>
      <w:widowControl w:val="0"/>
    </w:pPr>
    <w:rPr>
      <w:lang w:eastAsia="zh-CN"/>
    </w:rPr>
  </w:style>
  <w:style w:type="paragraph" w:customStyle="1" w:styleId="Obszartekstu">
    <w:name w:val="Obszar tekstu"/>
    <w:basedOn w:val="Standard"/>
    <w:qFormat/>
    <w:rPr>
      <w:sz w:val="24"/>
      <w:szCs w:val="24"/>
    </w:rPr>
  </w:style>
  <w:style w:type="paragraph" w:customStyle="1" w:styleId="Zawartotabeli">
    <w:name w:val="Zawarto?? tabeli"/>
    <w:basedOn w:val="Obszartekstu"/>
    <w:qFormat/>
  </w:style>
  <w:style w:type="paragraph" w:customStyle="1" w:styleId="Tytutabeli">
    <w:name w:val="Tytu? tabeli"/>
    <w:basedOn w:val="Zawartotabeli"/>
    <w:qFormat/>
    <w:pPr>
      <w:jc w:val="center"/>
    </w:pPr>
    <w:rPr>
      <w:b/>
      <w:bCs/>
      <w:i/>
      <w:iCs/>
    </w:rPr>
  </w:style>
  <w:style w:type="paragraph" w:customStyle="1" w:styleId="Zawartotabeli0">
    <w:name w:val="Zawartość tabeli"/>
    <w:basedOn w:val="Normalny"/>
    <w:qFormat/>
    <w:pPr>
      <w:suppressLineNumbers/>
    </w:pPr>
  </w:style>
  <w:style w:type="paragraph" w:customStyle="1" w:styleId="Tytutabeli0">
    <w:name w:val="Tytuł tabeli"/>
    <w:basedOn w:val="Zawartotabeli0"/>
    <w:qFormat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  <w:qFormat/>
  </w:style>
  <w:style w:type="paragraph" w:customStyle="1" w:styleId="Nagwektabeli">
    <w:name w:val="Nagłówek tabeli"/>
    <w:basedOn w:val="Zawartotabeli0"/>
    <w:qFormat/>
    <w:pPr>
      <w:jc w:val="center"/>
    </w:pPr>
    <w:rPr>
      <w:b/>
      <w:bCs/>
    </w:rPr>
  </w:style>
  <w:style w:type="paragraph" w:customStyle="1" w:styleId="WW-TableHeading">
    <w:name w:val="WW-Table Heading"/>
    <w:basedOn w:val="Zawartotabeli0"/>
    <w:qFormat/>
    <w:pPr>
      <w:jc w:val="center"/>
    </w:pPr>
    <w:rPr>
      <w:b/>
      <w:bCs/>
    </w:rPr>
  </w:style>
  <w:style w:type="paragraph" w:customStyle="1" w:styleId="WW-TableContents1">
    <w:name w:val="WW-Table Contents1"/>
    <w:basedOn w:val="Normalny"/>
    <w:qFormat/>
  </w:style>
  <w:style w:type="paragraph" w:customStyle="1" w:styleId="WW-TableHeading1">
    <w:name w:val="WW-Table Heading1"/>
    <w:basedOn w:val="WW-TableContents1"/>
    <w:qFormat/>
    <w:pPr>
      <w:jc w:val="center"/>
    </w:pPr>
    <w:rPr>
      <w:b/>
      <w:bCs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paragraph" w:styleId="Tekstdymka">
    <w:name w:val="Balloon Text"/>
    <w:basedOn w:val="Normalny"/>
    <w:link w:val="TekstdymkaZnak"/>
    <w:qFormat/>
    <w:rsid w:val="00FF7263"/>
    <w:rPr>
      <w:rFonts w:ascii="Segoe UI" w:hAnsi="Segoe UI" w:cs="Segoe UI"/>
      <w:sz w:val="18"/>
      <w:szCs w:val="18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708D3-C8B9-4359-803B-F8EA2E4FB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obejmujący nieruchomość Gminy Olsztyn, z przeznaczeniem do sprzedaży w trybie przetargowym</vt:lpstr>
    </vt:vector>
  </TitlesOfParts>
  <Company>Urząd Miasta Olsztyn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obejmujący działkę 71-96 ul. Mickiewica 27,, z przeznaczeniem do sprzedaży w trybie przetargowym</dc:title>
  <dc:subject/>
  <dc:creator>annab</dc:creator>
  <dc:description/>
  <cp:lastModifiedBy>Anna Ferszt</cp:lastModifiedBy>
  <cp:revision>12</cp:revision>
  <cp:lastPrinted>2026-08-25T09:29:00Z</cp:lastPrinted>
  <dcterms:created xsi:type="dcterms:W3CDTF">2026-08-25T09:20:00Z</dcterms:created>
  <dcterms:modified xsi:type="dcterms:W3CDTF">2026-09-09T11:00:00Z</dcterms:modified>
  <dc:language>pl-PL</dc:language>
</cp:coreProperties>
</file>