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tabs>
          <w:tab w:val="clear" w:pos="708"/>
          <w:tab w:val="left" w:pos="4713" w:leader="none"/>
        </w:tabs>
        <w:spacing w:before="240" w:after="0"/>
        <w:jc w:val="right"/>
        <w:rPr>
          <w:rFonts w:ascii="Arial" w:hAnsi="Arial" w:cs="Arial"/>
          <w:b w:val="false"/>
          <w:bCs w:val="false"/>
          <w:sz w:val="20"/>
          <w:szCs w:val="20"/>
        </w:rPr>
      </w:pPr>
      <w:r>
        <w:rPr>
          <w:rFonts w:cs="Arial" w:ascii="Arial" w:hAnsi="Arial"/>
          <w:sz w:val="24"/>
          <w:szCs w:val="28"/>
        </w:rPr>
        <w:tab/>
      </w:r>
      <w:r>
        <w:rPr>
          <w:rFonts w:cs="Arial" w:ascii="Arial" w:hAnsi="Arial"/>
          <w:b w:val="false"/>
          <w:bCs w:val="false"/>
          <w:sz w:val="20"/>
          <w:szCs w:val="20"/>
        </w:rPr>
        <w:t>37901.08.2026</w:t>
      </w:r>
    </w:p>
    <w:p>
      <w:pPr>
        <w:pStyle w:val="Title"/>
        <w:spacing w:before="240" w:after="0"/>
        <w:jc w:val="left"/>
        <w:rPr/>
      </w:pPr>
      <w:r>
        <w:rPr>
          <w:rFonts w:cs="Arial" w:ascii="Arial" w:hAnsi="Arial"/>
          <w:sz w:val="24"/>
          <w:szCs w:val="28"/>
        </w:rPr>
        <w:t>WYKAZ NIERUCHOMOŚCI PRZEZNACZONYCH DO SPRZEDAŻY W TRYBIE BEZPRZETARGOWYM</w:t>
      </w:r>
    </w:p>
    <w:p>
      <w:pPr>
        <w:pStyle w:val="Heading1"/>
        <w:numPr>
          <w:ilvl w:val="0"/>
          <w:numId w:val="1"/>
        </w:numPr>
        <w:ind w:hanging="0" w:left="0"/>
        <w:rPr>
          <w:rFonts w:ascii="Arial" w:hAnsi="Arial" w:cs="Arial"/>
          <w:b w:val="false"/>
          <w:sz w:val="22"/>
          <w:szCs w:val="24"/>
        </w:rPr>
      </w:pPr>
      <w:r>
        <w:rPr>
          <w:rFonts w:cs="Arial" w:ascii="Arial" w:hAnsi="Arial"/>
          <w:b w:val="false"/>
          <w:sz w:val="22"/>
          <w:szCs w:val="24"/>
        </w:rPr>
        <w:t xml:space="preserve">Na podstawie art. 35 ustawy z dnia 21 sierpnia 1997 r. o gospodarce nieruchomościami (Dz. U. z 2026 r. poz. 399) podaję do publicznej wiadomości na okres 21 dni tj. od dnia </w:t>
      </w:r>
      <w:r>
        <w:rPr>
          <w:rFonts w:cs="Arial" w:ascii="Arial" w:hAnsi="Arial"/>
          <w:b w:val="false"/>
          <w:sz w:val="22"/>
          <w:szCs w:val="24"/>
        </w:rPr>
        <w:t>24.08.</w:t>
      </w:r>
      <w:r>
        <w:rPr>
          <w:rFonts w:cs="Arial" w:ascii="Arial" w:hAnsi="Arial"/>
          <w:b w:val="false"/>
          <w:sz w:val="22"/>
          <w:szCs w:val="24"/>
        </w:rPr>
        <w:t xml:space="preserve">2026 r. do dnia </w:t>
      </w:r>
      <w:r>
        <w:rPr>
          <w:rFonts w:cs="Arial" w:ascii="Arial" w:hAnsi="Arial"/>
          <w:b w:val="false"/>
          <w:sz w:val="22"/>
          <w:szCs w:val="24"/>
        </w:rPr>
        <w:t>14.09.</w:t>
      </w:r>
      <w:r>
        <w:rPr>
          <w:rFonts w:cs="Arial" w:ascii="Arial" w:hAnsi="Arial"/>
          <w:b w:val="false"/>
          <w:sz w:val="22"/>
          <w:szCs w:val="24"/>
        </w:rPr>
        <w:t>2026 r. wykaz obejmujący nieruchomość Gminy Olsztyn, z przeznaczeniem do sprzedaży w trybie bezprzetargowym.</w:t>
      </w:r>
    </w:p>
    <w:p>
      <w:pPr>
        <w:pStyle w:val="Standard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tbl>
      <w:tblPr>
        <w:tblStyle w:val="Tabela-Siatka"/>
        <w:tblW w:w="15593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1559"/>
        <w:gridCol w:w="1702"/>
        <w:gridCol w:w="1843"/>
        <w:gridCol w:w="1417"/>
        <w:gridCol w:w="1559"/>
        <w:gridCol w:w="1842"/>
        <w:gridCol w:w="1843"/>
        <w:gridCol w:w="1701"/>
        <w:gridCol w:w="1558"/>
      </w:tblGrid>
      <w:tr>
        <w:trPr>
          <w:tblHeader w:val="true"/>
        </w:trPr>
        <w:tc>
          <w:tcPr>
            <w:tcW w:w="567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Lp.</w:t>
            </w:r>
          </w:p>
        </w:tc>
        <w:tc>
          <w:tcPr>
            <w:tcW w:w="1559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Położenie nieruchomości</w:t>
            </w:r>
          </w:p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</w:r>
          </w:p>
        </w:tc>
        <w:tc>
          <w:tcPr>
            <w:tcW w:w="1702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Oznaczenie nieruchomości według księgi wieczystej</w:t>
            </w:r>
          </w:p>
        </w:tc>
        <w:tc>
          <w:tcPr>
            <w:tcW w:w="1843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Oznaczenie nieruchomości w ewidencji gruntów i budynków (obręb - nr działki)</w:t>
            </w:r>
          </w:p>
        </w:tc>
        <w:tc>
          <w:tcPr>
            <w:tcW w:w="1417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Powierzchnia w m</w:t>
            </w:r>
            <w:r>
              <w:rPr>
                <w:rFonts w:cs="Arial" w:ascii="Arial" w:hAnsi="Arial"/>
                <w:kern w:val="0"/>
                <w:sz w:val="18"/>
                <w:szCs w:val="20"/>
                <w:vertAlign w:val="superscript"/>
                <w:lang w:val="pl-PL" w:bidi="ar-SA"/>
              </w:rPr>
              <w:t>2</w:t>
            </w:r>
          </w:p>
        </w:tc>
        <w:tc>
          <w:tcPr>
            <w:tcW w:w="1559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Opis nieruchomości</w:t>
            </w:r>
          </w:p>
        </w:tc>
        <w:tc>
          <w:tcPr>
            <w:tcW w:w="1842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Przeznaczenie nieruchomości</w:t>
            </w:r>
          </w:p>
        </w:tc>
        <w:tc>
          <w:tcPr>
            <w:tcW w:w="1843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Przeznaczenie w miejscowym planie zagospodarowania przestrzennego</w:t>
            </w:r>
          </w:p>
        </w:tc>
        <w:tc>
          <w:tcPr>
            <w:tcW w:w="170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Forma przekazania</w:t>
            </w:r>
          </w:p>
        </w:tc>
        <w:tc>
          <w:tcPr>
            <w:tcW w:w="1558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pacing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Cena nieruchomości</w:t>
            </w:r>
          </w:p>
        </w:tc>
      </w:tr>
      <w:tr>
        <w:trPr>
          <w:tblHeader w:val="true"/>
          <w:trHeight w:val="1820" w:hRule="atLeast"/>
        </w:trPr>
        <w:tc>
          <w:tcPr>
            <w:tcW w:w="567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1.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ul. Działkowa</w:t>
            </w:r>
          </w:p>
        </w:tc>
        <w:tc>
          <w:tcPr>
            <w:tcW w:w="1702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OL1O/00103981/5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48-4/1</w:t>
            </w:r>
          </w:p>
        </w:tc>
        <w:tc>
          <w:tcPr>
            <w:tcW w:w="1417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26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Nieruchomość zabudowana częścią placu z kostki brukowej i częścią ogrodzenia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na poprawę warunków zagospodarowania  nieruchomości przyległej położonej w Olsztynie przy ul. Działkowej 75 (działka nr 48-222) z zaliczeniem nakładów poniesionych na wybudowanie części placu z kostki brukowej oraz części ogrodzenia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27MN23 –zabudowa mieszkaniowa jednorodzinna</w:t>
            </w:r>
          </w:p>
        </w:tc>
        <w:tc>
          <w:tcPr>
            <w:tcW w:w="1701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sprzedaż nieruchomości w trybie bezprzetargowym</w:t>
            </w:r>
          </w:p>
        </w:tc>
        <w:tc>
          <w:tcPr>
            <w:tcW w:w="1558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 xml:space="preserve">16 500,00 zł </w:t>
            </w:r>
          </w:p>
        </w:tc>
      </w:tr>
    </w:tbl>
    <w:p>
      <w:pPr>
        <w:pStyle w:val="Heading2"/>
        <w:numPr>
          <w:ilvl w:val="0"/>
          <w:numId w:val="0"/>
        </w:numPr>
        <w:spacing w:before="0" w:after="120"/>
        <w:ind w:hanging="0" w:left="0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Uwaga! Osoby, którym przysługuje pierwszeństwo w nabyciu nieruchomości na podstawie art. 34 ust. 1 pkt. 1 i 2 ustawy z dnia 21 sierpnia 1997 r. o gospodarce nieruchomościami (Dz. U. z 2026 r. poz. 399) winny złożyć wnioski w terminie 6 tygodni od daty podania niniejszego wykazu do publicznej wiadomości. </w:t>
      </w:r>
    </w:p>
    <w:p>
      <w:pPr>
        <w:pStyle w:val="Standard"/>
        <w:rPr>
          <w:rFonts w:ascii="Arial" w:hAnsi="Arial" w:eastAsia="Microsoft YaHei" w:cs="Arial"/>
          <w:bCs/>
          <w:sz w:val="22"/>
          <w:szCs w:val="22"/>
        </w:rPr>
      </w:pPr>
      <w:r>
        <w:rPr>
          <w:rFonts w:eastAsia="Microsoft YaHei" w:cs="Arial" w:ascii="Arial" w:hAnsi="Arial"/>
          <w:bCs/>
          <w:sz w:val="22"/>
          <w:szCs w:val="22"/>
        </w:rPr>
        <w:t>Sprzedaż działki 48-4/1 opodatkowana zostanie podatkiem VAT w stawce 23%.</w:t>
      </w:r>
    </w:p>
    <w:p>
      <w:pPr>
        <w:pStyle w:val="Standard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eastAsia="Microsoft YaHei" w:cs="Arial" w:ascii="Arial" w:hAnsi="Arial"/>
          <w:bCs/>
          <w:sz w:val="22"/>
          <w:szCs w:val="22"/>
        </w:rPr>
        <w:t>Wykaz znajduje się w Biuletynie Informacji Publicznej, prowadzonym przez Urząd Miasta Olsztyna, pod adresem bip.olsztyn.eu oraz na Elektronicznej Tablicy Ogłoszeń (ETO).</w:t>
      </w:r>
    </w:p>
    <w:p>
      <w:pPr>
        <w:pStyle w:val="Standard"/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Informacja:</w:t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tel. 89 50 60 335</w:t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Urząd Miasta Olsztyna,</w:t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Plac Jana Pawła II 1,</w:t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pok. 112</w:t>
      </w:r>
    </w:p>
    <w:sectPr>
      <w:type w:val="nextPage"/>
      <w:pgSz w:orient="landscape" w:w="16838" w:h="11906"/>
      <w:pgMar w:left="1418" w:right="1418" w:gutter="0" w:header="0" w:top="42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tarBat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08"/>
  <w:autoHyphenation w:val="true"/>
  <w:doNotHyphenateCaps/>
  <w:hyphenationZone w:val="425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d157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paragraph" w:styleId="Heading1">
    <w:name w:val="Heading 1"/>
    <w:basedOn w:val="Nagwek2"/>
    <w:next w:val="BodyText"/>
    <w:link w:val="Nagwek1Znak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Nagwek2"/>
    <w:next w:val="BodyText"/>
    <w:link w:val="Nagwek2Znak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2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Domylnaczcionkaakapitu2" w:customStyle="1">
    <w:name w:val="Domyślna czcionka akapitu2"/>
    <w:qFormat/>
    <w:rPr/>
  </w:style>
  <w:style w:type="character" w:styleId="Domylnaczcionkaakapitu1" w:customStyle="1">
    <w:name w:val="Domyślna czcionka akapitu1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Domylnaczcionkaakapitu3" w:customStyle="1">
    <w:name w:val="Domyślna czcionka akapitu3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" w:customStyle="1">
    <w:name w:val="WW-Absatz-Standardschriftart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1" w:customStyle="1">
    <w:name w:val="WW-Absatz-Standardschriftart1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11" w:customStyle="1">
    <w:name w:val="WW-Absatz-Standardschriftart11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Domylnaczcionkaakapitu" w:customStyle="1">
    <w:name w:val="WW-Domy?lna czcionka akapitu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Symbolwypunktowania" w:customStyle="1">
    <w:name w:val="Symbol wypunktowania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" w:customStyle="1">
    <w:name w:val="WW-Symbol wypunktowania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1" w:customStyle="1">
    <w:name w:val="WW-Symbol wypunktowania1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11" w:customStyle="1">
    <w:name w:val="WW-Symbol wypunktowania11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Symbolewypunktowania" w:customStyle="1">
    <w:name w:val="Symbole wypunktowania"/>
    <w:qFormat/>
    <w:rPr>
      <w:rFonts w:ascii="OpenSymbol" w:hAnsi="OpenSymbol" w:eastAsia="OpenSymbol" w:cs="OpenSymbol"/>
    </w:rPr>
  </w:style>
  <w:style w:type="character" w:styleId="displayonly" w:customStyle="1">
    <w:name w:val="display_only"/>
    <w:basedOn w:val="Domylnaczcionkaakapitu1"/>
    <w:qFormat/>
    <w:rPr/>
  </w:style>
  <w:style w:type="character" w:styleId="item-fieldvalue" w:customStyle="1">
    <w:name w:val="item-fieldvalue"/>
    <w:qFormat/>
    <w:rsid w:val="000d7b62"/>
    <w:rPr/>
  </w:style>
  <w:style w:type="character" w:styleId="TekstdymkaZnak" w:customStyle="1">
    <w:name w:val="Tekst dymka Znak"/>
    <w:link w:val="BalloonText"/>
    <w:qFormat/>
    <w:rsid w:val="00ff7263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rsid w:val="00c20cf5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rsid w:val="00c20cf5"/>
    <w:rPr>
      <w:color w:themeColor="followedHyperlink" w:val="954F72"/>
      <w:u w:val="single"/>
    </w:rPr>
  </w:style>
  <w:style w:type="character" w:styleId="StandardZnak" w:customStyle="1">
    <w:name w:val="Standard Znak"/>
    <w:basedOn w:val="DefaultParagraphFont"/>
    <w:link w:val="Standard"/>
    <w:qFormat/>
    <w:rsid w:val="00e643bf"/>
    <w:rPr>
      <w:lang w:eastAsia="zh-CN"/>
    </w:rPr>
  </w:style>
  <w:style w:type="character" w:styleId="WykaztytuZnak" w:customStyle="1">
    <w:name w:val="Wykaz_tytuł Znak"/>
    <w:basedOn w:val="StandardZnak"/>
    <w:link w:val="Wykaztytu"/>
    <w:qFormat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styleId="TytuZnak" w:customStyle="1">
    <w:name w:val="Tytuł Znak"/>
    <w:basedOn w:val="DefaultParagraphFont"/>
    <w:qFormat/>
    <w:rsid w:val="00e643bf"/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  <w:lang w:eastAsia="zh-CN"/>
    </w:rPr>
  </w:style>
  <w:style w:type="character" w:styleId="Nagwek1Znak" w:customStyle="1">
    <w:name w:val="Nagłówek 1 Znak"/>
    <w:basedOn w:val="DefaultParagraphFont"/>
    <w:qFormat/>
    <w:rsid w:val="006871c8"/>
    <w:rPr>
      <w:rFonts w:ascii="Liberation Sans" w:hAnsi="Liberation Sans" w:eastAsia="Microsoft YaHei" w:cs="Mangal"/>
      <w:b/>
      <w:bCs/>
      <w:sz w:val="36"/>
      <w:szCs w:val="36"/>
      <w:lang w:eastAsia="zh-CN"/>
    </w:rPr>
  </w:style>
  <w:style w:type="character" w:styleId="Nagwek2Znak" w:customStyle="1">
    <w:name w:val="Nagłówek 2 Znak"/>
    <w:basedOn w:val="DefaultParagraphFont"/>
    <w:qFormat/>
    <w:rsid w:val="006871c8"/>
    <w:rPr>
      <w:rFonts w:ascii="Liberation Sans" w:hAnsi="Liberation Sans" w:eastAsia="Microsoft YaHei" w:cs="Mangal"/>
      <w:b/>
      <w:bCs/>
      <w:sz w:val="32"/>
      <w:szCs w:val="32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1524c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ks" w:customStyle="1">
    <w:name w:val="Indeks"/>
    <w:basedOn w:val="Normal"/>
    <w:qFormat/>
    <w:pPr/>
    <w:rPr/>
  </w:style>
  <w:style w:type="paragraph" w:styleId="Nagwek3" w:customStyle="1">
    <w:name w:val="Nagłówek3"/>
    <w:basedOn w:val="Nagwek2"/>
    <w:next w:val="BodyText"/>
    <w:qFormat/>
    <w:pPr>
      <w:jc w:val="center"/>
    </w:pPr>
    <w:rPr>
      <w:b/>
      <w:bCs/>
      <w:sz w:val="56"/>
      <w:szCs w:val="56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pis1" w:customStyle="1">
    <w:name w:val="Podpis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agwek4" w:customStyle="1">
    <w:name w:val="Nagłówek4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Legenda2" w:customStyle="1">
    <w:name w:val="Legenda2"/>
    <w:basedOn w:val="Normal"/>
    <w:qFormat/>
    <w:pPr>
      <w:spacing w:before="120" w:after="120"/>
    </w:pPr>
    <w:rPr>
      <w:i/>
      <w:iCs/>
    </w:rPr>
  </w:style>
  <w:style w:type="paragraph" w:styleId="WW-header" w:customStyle="1">
    <w:name w:val="WW-header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" w:customStyle="1">
    <w:name w:val="WW-caption"/>
    <w:basedOn w:val="Normal"/>
    <w:qFormat/>
    <w:pPr>
      <w:spacing w:before="120" w:after="120"/>
    </w:pPr>
    <w:rPr>
      <w:i/>
      <w:iCs/>
    </w:rPr>
  </w:style>
  <w:style w:type="paragraph" w:styleId="WW-Index" w:customStyle="1">
    <w:name w:val="WW-Index"/>
    <w:basedOn w:val="Normal"/>
    <w:qFormat/>
    <w:pPr/>
    <w:rPr/>
  </w:style>
  <w:style w:type="paragraph" w:styleId="WW-header1" w:customStyle="1">
    <w:name w:val="WW-header1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" w:customStyle="1">
    <w:name w:val="WW-caption1"/>
    <w:basedOn w:val="Normal"/>
    <w:qFormat/>
    <w:pPr>
      <w:spacing w:before="120" w:after="120"/>
    </w:pPr>
    <w:rPr>
      <w:i/>
      <w:iCs/>
    </w:rPr>
  </w:style>
  <w:style w:type="paragraph" w:styleId="WW-Index1" w:customStyle="1">
    <w:name w:val="WW-Index1"/>
    <w:basedOn w:val="Normal"/>
    <w:qFormat/>
    <w:pPr/>
    <w:rPr/>
  </w:style>
  <w:style w:type="paragraph" w:styleId="Standard" w:customStyle="1">
    <w:name w:val="Standard"/>
    <w:link w:val="StandardZnak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paragraph" w:styleId="Obszartekstu" w:customStyle="1">
    <w:name w:val="Obszar tekstu"/>
    <w:basedOn w:val="Standard"/>
    <w:qFormat/>
    <w:pPr/>
    <w:rPr>
      <w:sz w:val="24"/>
      <w:szCs w:val="24"/>
    </w:rPr>
  </w:style>
  <w:style w:type="paragraph" w:styleId="Zawartotabeli" w:customStyle="1">
    <w:name w:val="Zawarto?? tabeli"/>
    <w:basedOn w:val="Obszartekstu"/>
    <w:qFormat/>
    <w:pPr/>
    <w:rPr/>
  </w:style>
  <w:style w:type="paragraph" w:styleId="Tytutabeli" w:customStyle="1">
    <w:name w:val="Tytu? tabeli"/>
    <w:basedOn w:val="Zawartotabeli"/>
    <w:qFormat/>
    <w:pPr>
      <w:jc w:val="center"/>
    </w:pPr>
    <w:rPr>
      <w:b/>
      <w:bCs/>
      <w:i/>
      <w:iCs/>
    </w:rPr>
  </w:style>
  <w:style w:type="paragraph" w:styleId="Zawartotabeli1" w:customStyle="1">
    <w:name w:val="Zawartość tabeli"/>
    <w:basedOn w:val="Normal"/>
    <w:qFormat/>
    <w:pPr>
      <w:suppressLineNumbers/>
    </w:pPr>
    <w:rPr/>
  </w:style>
  <w:style w:type="paragraph" w:styleId="Tytutabeli1" w:customStyle="1">
    <w:name w:val="Tytuł tabeli"/>
    <w:basedOn w:val="Zawartotabeli1"/>
    <w:qFormat/>
    <w:pPr>
      <w:jc w:val="center"/>
    </w:pPr>
    <w:rPr>
      <w:b/>
      <w:bCs/>
      <w:i/>
      <w:iCs/>
    </w:rPr>
  </w:style>
  <w:style w:type="paragraph" w:styleId="WW-TableContents" w:customStyle="1">
    <w:name w:val="WW-Table Contents"/>
    <w:basedOn w:val="Normal"/>
    <w:qFormat/>
    <w:pPr/>
    <w:rPr/>
  </w:style>
  <w:style w:type="paragraph" w:styleId="Nagwektabeli" w:customStyle="1">
    <w:name w:val="Nagłówek tabeli"/>
    <w:basedOn w:val="Zawartotabeli1"/>
    <w:qFormat/>
    <w:pPr>
      <w:jc w:val="center"/>
    </w:pPr>
    <w:rPr>
      <w:b/>
      <w:bCs/>
    </w:rPr>
  </w:style>
  <w:style w:type="paragraph" w:styleId="WW-TableHeading" w:customStyle="1">
    <w:name w:val="WW-Table Heading"/>
    <w:basedOn w:val="Zawartotabeli1"/>
    <w:qFormat/>
    <w:pPr>
      <w:jc w:val="center"/>
    </w:pPr>
    <w:rPr>
      <w:b/>
      <w:bCs/>
    </w:rPr>
  </w:style>
  <w:style w:type="paragraph" w:styleId="WW-TableContents1" w:customStyle="1">
    <w:name w:val="WW-Table Contents1"/>
    <w:basedOn w:val="Normal"/>
    <w:qFormat/>
    <w:pPr/>
    <w:rPr/>
  </w:style>
  <w:style w:type="paragraph" w:styleId="WW-TableHeading1" w:customStyle="1">
    <w:name w:val="WW-Table Heading1"/>
    <w:basedOn w:val="WW-TableContents1"/>
    <w:qFormat/>
    <w:pPr>
      <w:jc w:val="center"/>
    </w:pPr>
    <w:rPr>
      <w:b/>
      <w:bCs/>
    </w:rPr>
  </w:style>
  <w:style w:type="paragraph" w:styleId="Cytaty" w:customStyle="1">
    <w:name w:val="Cytaty"/>
    <w:basedOn w:val="Normal"/>
    <w:qFormat/>
    <w:pPr>
      <w:spacing w:before="0" w:after="283"/>
      <w:ind w:left="567" w:right="567"/>
    </w:pPr>
    <w:rPr/>
  </w:style>
  <w:style w:type="paragraph" w:styleId="Subtitle">
    <w:name w:val="Subtitle"/>
    <w:basedOn w:val="Nagwek2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08"/>
        <w:tab w:val="center" w:pos="7001" w:leader="none"/>
        <w:tab w:val="right" w:pos="14002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7001" w:leader="none"/>
        <w:tab w:val="right" w:pos="14002" w:leader="none"/>
      </w:tabs>
    </w:pPr>
    <w:rPr/>
  </w:style>
  <w:style w:type="paragraph" w:styleId="BalloonText">
    <w:name w:val="Balloon Text"/>
    <w:basedOn w:val="Normal"/>
    <w:link w:val="TekstdymkaZnak"/>
    <w:qFormat/>
    <w:rsid w:val="00ff7263"/>
    <w:pPr/>
    <w:rPr>
      <w:rFonts w:ascii="Segoe UI" w:hAnsi="Segoe UI" w:cs="Segoe UI"/>
      <w:sz w:val="18"/>
      <w:szCs w:val="18"/>
    </w:rPr>
  </w:style>
  <w:style w:type="paragraph" w:styleId="Wykaztytu" w:customStyle="1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itle">
    <w:name w:val="Title"/>
    <w:basedOn w:val="Normal"/>
    <w:next w:val="Normal"/>
    <w:link w:val="TytuZnak"/>
    <w:qFormat/>
    <w:rsid w:val="00e643bf"/>
    <w:pPr>
      <w:spacing w:before="240" w:after="60"/>
      <w:jc w:val="center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f117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Application>LibreOffice/24.2.7.2$Windows_X86_64 LibreOffice_project/ee3885777aa7032db5a9b65deec9457448a91162</Application>
  <AppVersion>15.0000</AppVersion>
  <Pages>1</Pages>
  <Words>259</Words>
  <Characters>1560</Characters>
  <CharactersWithSpaces>1816</CharactersWithSpaces>
  <Paragraphs>3</Paragraphs>
  <Company>Urząd Miasta Olsztyn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2026-05-05T07:35:00Z</dcterms:created>
  <dc:creator>Elżbieta Chrzanowska</dc:creator>
  <dc:description/>
  <dc:language>pl-PL</dc:language>
  <cp:lastModifiedBy/>
  <cp:lastPrinted>2026-08-20T07:39:00Z</cp:lastPrinted>
  <dcterms:modified xsi:type="dcterms:W3CDTF">2026-08-24T11:21:46Z</dcterms:modified>
  <cp:revision>24</cp:revision>
  <dc:subject/>
  <dc:title>Wykaz obejmujący nieruchomości Gminy Olsztyn, położone w Białymstoku, przeznaczone do sprzedaży w trybie bezprzetargowym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