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737F" w14:textId="7BB942B4" w:rsidR="002049F2" w:rsidRDefault="002049F2" w:rsidP="002049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1"/>
          <w:sz w:val="24"/>
          <w:szCs w:val="24"/>
        </w:rPr>
      </w:pPr>
      <w:r>
        <w:rPr>
          <w:rFonts w:cstheme="minorHAnsi"/>
          <w:kern w:val="1"/>
          <w:sz w:val="24"/>
          <w:szCs w:val="24"/>
        </w:rPr>
        <w:t>Uzasadnienie do zmiany uchwały</w:t>
      </w:r>
    </w:p>
    <w:p w14:paraId="5B522D33" w14:textId="77777777" w:rsidR="002049F2" w:rsidRDefault="002049F2" w:rsidP="002049F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cstheme="minorHAnsi"/>
          <w:kern w:val="1"/>
          <w:sz w:val="24"/>
          <w:szCs w:val="24"/>
        </w:rPr>
      </w:pPr>
    </w:p>
    <w:p w14:paraId="7FB93716" w14:textId="36259858" w:rsidR="002049F2" w:rsidRPr="002049F2" w:rsidRDefault="002049F2" w:rsidP="002049F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cstheme="minorHAnsi"/>
          <w:kern w:val="1"/>
          <w:sz w:val="24"/>
          <w:szCs w:val="24"/>
        </w:rPr>
      </w:pPr>
      <w:r w:rsidRPr="002049F2">
        <w:rPr>
          <w:rFonts w:cstheme="minorHAnsi"/>
          <w:kern w:val="1"/>
          <w:sz w:val="24"/>
          <w:szCs w:val="24"/>
        </w:rPr>
        <w:t>Konieczność zmiany załącznika do uchwały Nr XXXIX/647/21 Rady Miasta Olsztyna z dnia 24 listopada 2021 r. w sprawie Wieloletniego Programu Gospodarowania Mieszkaniowym Zasobem Gminy Olsztyn na lata 2022–2026 wynika z potrzeby dostosowania określonych w Programie zasad udzielania obniżek czynszu do aktualnie obowiązujących zasad określonych w uchwale Nr XXVII/399/26 Rady Miasta Olsztyna z dnia 24 czerwca 2026 r. w sprawie określenia zasad wynajmowania lokali wchodzących w skład mieszkaniowego zasobu Gminy Olsztyn. Uchwała została opublikowana w Dzienniku Urzędowym Województwa Warmińsko-Mazurskiego z 2026 r. pod poz. 2726.</w:t>
      </w:r>
    </w:p>
    <w:p w14:paraId="6453BEC1" w14:textId="77777777" w:rsidR="002049F2" w:rsidRDefault="002049F2" w:rsidP="002049F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cstheme="minorHAnsi"/>
          <w:kern w:val="1"/>
          <w:sz w:val="24"/>
          <w:szCs w:val="24"/>
        </w:rPr>
      </w:pPr>
      <w:r w:rsidRPr="002049F2">
        <w:rPr>
          <w:rFonts w:cstheme="minorHAnsi"/>
          <w:kern w:val="1"/>
          <w:sz w:val="24"/>
          <w:szCs w:val="24"/>
        </w:rPr>
        <w:t>Obowiązująca obecnie Tabela nr 16 (W</w:t>
      </w:r>
      <w:r>
        <w:rPr>
          <w:rFonts w:cstheme="minorHAnsi"/>
          <w:kern w:val="1"/>
          <w:sz w:val="24"/>
          <w:szCs w:val="24"/>
        </w:rPr>
        <w:t>ieloletni Program gospodarowania Mieszkaniowym Zasobem Gminy</w:t>
      </w:r>
      <w:r w:rsidRPr="002049F2">
        <w:rPr>
          <w:rFonts w:cstheme="minorHAnsi"/>
          <w:kern w:val="1"/>
          <w:sz w:val="24"/>
          <w:szCs w:val="24"/>
        </w:rPr>
        <w:t xml:space="preserve">), wprowadzona dla lat 2025–2026, określa kryteria dochodowe w odniesieniu do najniższej emerytury, natomiast Uchwała Nr XXVII/399/26 Rady Miasta Olsztyna z dnia 24 czerwca 2026 r. w sprawie określenia zasad wynajmowania lokali wchodzących w skład mieszkaniowego zasobu Gminy Olsztyn, odwołuje się przeciętnego wynagrodzenia </w:t>
      </w:r>
    </w:p>
    <w:p w14:paraId="09348F36" w14:textId="77777777" w:rsidR="002049F2" w:rsidRDefault="002049F2" w:rsidP="002049F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cstheme="minorHAnsi"/>
          <w:kern w:val="1"/>
          <w:sz w:val="24"/>
          <w:szCs w:val="24"/>
        </w:rPr>
      </w:pPr>
      <w:r w:rsidRPr="002049F2">
        <w:rPr>
          <w:rFonts w:cstheme="minorHAnsi"/>
          <w:kern w:val="1"/>
          <w:sz w:val="24"/>
          <w:szCs w:val="24"/>
        </w:rPr>
        <w:t xml:space="preserve">w gospodarce narodowej jako podstawy określania progów dochodowych uprawniających </w:t>
      </w:r>
    </w:p>
    <w:p w14:paraId="7F8346D1" w14:textId="7BC9D670" w:rsidR="002049F2" w:rsidRPr="002049F2" w:rsidRDefault="002049F2" w:rsidP="002049F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cstheme="minorHAnsi"/>
          <w:kern w:val="1"/>
          <w:sz w:val="24"/>
          <w:szCs w:val="24"/>
        </w:rPr>
      </w:pPr>
      <w:r w:rsidRPr="002049F2">
        <w:rPr>
          <w:rFonts w:cstheme="minorHAnsi"/>
          <w:kern w:val="1"/>
          <w:sz w:val="24"/>
          <w:szCs w:val="24"/>
        </w:rPr>
        <w:t>do obniżki czynszu.</w:t>
      </w:r>
    </w:p>
    <w:p w14:paraId="6A40BBA1" w14:textId="77777777" w:rsidR="002049F2" w:rsidRPr="002049F2" w:rsidRDefault="002049F2" w:rsidP="002049F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cstheme="minorHAnsi"/>
          <w:kern w:val="1"/>
          <w:sz w:val="24"/>
          <w:szCs w:val="24"/>
        </w:rPr>
      </w:pPr>
      <w:r w:rsidRPr="002049F2">
        <w:rPr>
          <w:rFonts w:cstheme="minorHAnsi"/>
          <w:kern w:val="1"/>
          <w:sz w:val="24"/>
          <w:szCs w:val="24"/>
        </w:rPr>
        <w:t>Wysokość obniżek czynszu, wynosząca odpowiednio 20% i 10%, nie ulega zmianie.</w:t>
      </w:r>
    </w:p>
    <w:p w14:paraId="506B0B7E" w14:textId="142D3C8D" w:rsidR="002049F2" w:rsidRPr="002049F2" w:rsidRDefault="002049F2" w:rsidP="002049F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cstheme="minorHAnsi"/>
          <w:kern w:val="1"/>
          <w:sz w:val="24"/>
          <w:szCs w:val="24"/>
        </w:rPr>
      </w:pPr>
      <w:r w:rsidRPr="002049F2">
        <w:rPr>
          <w:rFonts w:cstheme="minorHAnsi"/>
          <w:kern w:val="1"/>
          <w:sz w:val="24"/>
          <w:szCs w:val="24"/>
        </w:rPr>
        <w:t>Przyjęcie analogicznych progów dochodowych w Wieloletnim Programie</w:t>
      </w:r>
      <w:r>
        <w:rPr>
          <w:rFonts w:cstheme="minorHAnsi"/>
          <w:kern w:val="1"/>
          <w:sz w:val="24"/>
          <w:szCs w:val="24"/>
        </w:rPr>
        <w:t xml:space="preserve"> Gospodarowania Mieszkaniowym Zasobem Gminy</w:t>
      </w:r>
      <w:r w:rsidRPr="002049F2">
        <w:rPr>
          <w:rFonts w:cstheme="minorHAnsi"/>
          <w:kern w:val="1"/>
          <w:sz w:val="24"/>
          <w:szCs w:val="24"/>
        </w:rPr>
        <w:t xml:space="preserve"> pozwoli na zachowanie spójności pomiędzy obydwiema Uchwałami.</w:t>
      </w:r>
    </w:p>
    <w:p w14:paraId="35A4D237" w14:textId="77777777" w:rsidR="002049F2" w:rsidRPr="002049F2" w:rsidRDefault="002049F2" w:rsidP="002049F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cstheme="minorHAnsi"/>
          <w:kern w:val="1"/>
          <w:sz w:val="24"/>
          <w:szCs w:val="24"/>
        </w:rPr>
      </w:pPr>
      <w:r w:rsidRPr="002049F2">
        <w:rPr>
          <w:rFonts w:cstheme="minorHAnsi"/>
          <w:kern w:val="1"/>
          <w:sz w:val="24"/>
          <w:szCs w:val="24"/>
        </w:rPr>
        <w:t>W związku z powyższym podjęcie uchwały jest uzasadnione.</w:t>
      </w:r>
    </w:p>
    <w:p w14:paraId="6FF0D32E" w14:textId="77777777" w:rsidR="00A457A6" w:rsidRDefault="00A457A6">
      <w:pPr>
        <w:rPr>
          <w:rFonts w:cstheme="minorHAnsi"/>
          <w:sz w:val="24"/>
          <w:szCs w:val="24"/>
        </w:rPr>
      </w:pPr>
    </w:p>
    <w:p w14:paraId="1AB09E5F" w14:textId="77777777" w:rsidR="002049F2" w:rsidRDefault="002049F2">
      <w:pPr>
        <w:rPr>
          <w:rFonts w:cstheme="minorHAnsi"/>
          <w:sz w:val="24"/>
          <w:szCs w:val="24"/>
        </w:rPr>
      </w:pPr>
    </w:p>
    <w:p w14:paraId="31F2381D" w14:textId="77777777" w:rsidR="002049F2" w:rsidRPr="002049F2" w:rsidRDefault="002049F2">
      <w:pPr>
        <w:rPr>
          <w:rFonts w:cstheme="minorHAnsi"/>
          <w:sz w:val="24"/>
          <w:szCs w:val="24"/>
        </w:rPr>
      </w:pPr>
    </w:p>
    <w:sectPr w:rsidR="002049F2" w:rsidRPr="00204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F2"/>
    <w:rsid w:val="002049F2"/>
    <w:rsid w:val="004A0234"/>
    <w:rsid w:val="00525E06"/>
    <w:rsid w:val="007B18E2"/>
    <w:rsid w:val="00A457A6"/>
    <w:rsid w:val="00C5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C4DFF"/>
  <w15:chartTrackingRefBased/>
  <w15:docId w15:val="{67E3473E-2CD1-4171-9173-30AD45EA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9F2"/>
    <w:pPr>
      <w:spacing w:line="259" w:lineRule="auto"/>
    </w:pPr>
    <w:rPr>
      <w:rFonts w:eastAsiaTheme="minorEastAsia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49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49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49F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49F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49F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49F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49F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49F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49F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9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4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49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49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49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49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49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49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49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4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04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49F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04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49F2"/>
    <w:pPr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049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49F2"/>
    <w:pPr>
      <w:spacing w:line="278" w:lineRule="auto"/>
      <w:ind w:left="720"/>
      <w:contextualSpacing/>
    </w:pPr>
    <w:rPr>
      <w:rFonts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049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49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49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49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1283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Sowul</dc:creator>
  <cp:keywords/>
  <dc:description/>
  <cp:lastModifiedBy>Monika Sowul</cp:lastModifiedBy>
  <cp:revision>1</cp:revision>
  <cp:lastPrinted>2026-08-11T09:56:00Z</cp:lastPrinted>
  <dcterms:created xsi:type="dcterms:W3CDTF">2026-08-11T09:50:00Z</dcterms:created>
  <dcterms:modified xsi:type="dcterms:W3CDTF">2026-08-11T09:56:00Z</dcterms:modified>
</cp:coreProperties>
</file>