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338363" w14:textId="77777777" w:rsidR="00F25B7E" w:rsidRPr="008202C5" w:rsidRDefault="00446123" w:rsidP="00E643BF">
      <w:pPr>
        <w:pStyle w:val="Tytu"/>
        <w:rPr>
          <w:rFonts w:ascii="Arial" w:hAnsi="Arial" w:cs="Arial"/>
          <w:sz w:val="24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8"/>
        </w:rPr>
        <w:t>WYK</w:t>
      </w:r>
      <w:r w:rsidR="00F25B7E"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</w:t>
      </w:r>
      <w:r w:rsidR="000A6A32">
        <w:rPr>
          <w:rFonts w:ascii="Arial" w:hAnsi="Arial" w:cs="Arial"/>
          <w:sz w:val="24"/>
          <w:szCs w:val="28"/>
        </w:rPr>
        <w:t xml:space="preserve"> T</w:t>
      </w:r>
      <w:r>
        <w:rPr>
          <w:rFonts w:ascii="Arial" w:hAnsi="Arial" w:cs="Arial"/>
          <w:sz w:val="24"/>
          <w:szCs w:val="28"/>
        </w:rPr>
        <w:t xml:space="preserve">RYBIE </w:t>
      </w:r>
      <w:r w:rsidR="000A6A32">
        <w:rPr>
          <w:rFonts w:ascii="Arial" w:hAnsi="Arial" w:cs="Arial"/>
          <w:sz w:val="24"/>
          <w:szCs w:val="28"/>
        </w:rPr>
        <w:t>BEZPRZETARGOWYM</w:t>
      </w:r>
    </w:p>
    <w:p w14:paraId="13443B1E" w14:textId="2CB52AE1" w:rsidR="00F25B7E" w:rsidRPr="008202C5" w:rsidRDefault="00F25B7E" w:rsidP="00E643B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</w:t>
      </w:r>
      <w:r w:rsidR="00D01E55" w:rsidRPr="008202C5">
        <w:rPr>
          <w:rFonts w:ascii="Arial" w:hAnsi="Arial" w:cs="Arial"/>
          <w:b w:val="0"/>
          <w:sz w:val="22"/>
          <w:szCs w:val="24"/>
        </w:rPr>
        <w:t xml:space="preserve"> i 2</w:t>
      </w:r>
      <w:r w:rsidRPr="008202C5">
        <w:rPr>
          <w:rFonts w:ascii="Arial" w:hAnsi="Arial" w:cs="Arial"/>
          <w:b w:val="0"/>
          <w:sz w:val="22"/>
          <w:szCs w:val="24"/>
        </w:rPr>
        <w:t xml:space="preserve"> ustawy z dnia 21 sierpnia 1997 r. o gospod</w:t>
      </w:r>
      <w:r w:rsidR="0013603D" w:rsidRPr="008202C5">
        <w:rPr>
          <w:rFonts w:ascii="Arial" w:hAnsi="Arial" w:cs="Arial"/>
          <w:b w:val="0"/>
          <w:sz w:val="22"/>
          <w:szCs w:val="24"/>
        </w:rPr>
        <w:t>arce nieruchomościami (Dz. U. z </w:t>
      </w:r>
      <w:r w:rsidRPr="008202C5">
        <w:rPr>
          <w:rFonts w:ascii="Arial" w:hAnsi="Arial" w:cs="Arial"/>
          <w:b w:val="0"/>
          <w:sz w:val="22"/>
          <w:szCs w:val="24"/>
        </w:rPr>
        <w:t>20</w:t>
      </w:r>
      <w:r w:rsidR="00294712" w:rsidRPr="008202C5">
        <w:rPr>
          <w:rFonts w:ascii="Arial" w:hAnsi="Arial" w:cs="Arial"/>
          <w:b w:val="0"/>
          <w:sz w:val="22"/>
          <w:szCs w:val="24"/>
        </w:rPr>
        <w:t>24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 w:rsidR="00294712" w:rsidRPr="008202C5">
        <w:rPr>
          <w:rFonts w:ascii="Arial" w:hAnsi="Arial" w:cs="Arial"/>
          <w:b w:val="0"/>
          <w:sz w:val="22"/>
          <w:szCs w:val="24"/>
        </w:rPr>
        <w:t>1145</w:t>
      </w:r>
      <w:r w:rsidR="000379CE">
        <w:rPr>
          <w:rFonts w:ascii="Arial" w:hAnsi="Arial" w:cs="Arial"/>
          <w:b w:val="0"/>
          <w:sz w:val="22"/>
          <w:szCs w:val="24"/>
        </w:rPr>
        <w:t xml:space="preserve"> ze zm.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AB2A6F">
        <w:rPr>
          <w:rFonts w:ascii="Arial" w:hAnsi="Arial" w:cs="Arial"/>
          <w:b w:val="0"/>
          <w:sz w:val="22"/>
          <w:szCs w:val="24"/>
        </w:rPr>
        <w:t>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AB2A6F">
        <w:rPr>
          <w:rFonts w:ascii="Arial" w:hAnsi="Arial" w:cs="Arial"/>
          <w:b w:val="0"/>
          <w:sz w:val="22"/>
          <w:szCs w:val="24"/>
        </w:rPr>
        <w:t>15.04.2026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 w:rsidR="004C68A3">
        <w:rPr>
          <w:rFonts w:ascii="Arial" w:hAnsi="Arial" w:cs="Arial"/>
          <w:b w:val="0"/>
          <w:sz w:val="22"/>
          <w:szCs w:val="24"/>
        </w:rPr>
        <w:t>ć</w:t>
      </w:r>
      <w:r w:rsidR="0022319D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="000379CE">
        <w:rPr>
          <w:rFonts w:ascii="Arial" w:hAnsi="Arial" w:cs="Arial"/>
          <w:b w:val="0"/>
          <w:sz w:val="22"/>
          <w:szCs w:val="24"/>
        </w:rPr>
        <w:t>Skarbu Państwa</w:t>
      </w:r>
      <w:r w:rsidRPr="008202C5">
        <w:rPr>
          <w:rFonts w:ascii="Arial" w:hAnsi="Arial" w:cs="Arial"/>
          <w:b w:val="0"/>
          <w:sz w:val="22"/>
          <w:szCs w:val="24"/>
        </w:rPr>
        <w:t xml:space="preserve"> przeznaczon</w:t>
      </w:r>
      <w:r w:rsidR="004C68A3">
        <w:rPr>
          <w:rFonts w:ascii="Arial" w:hAnsi="Arial" w:cs="Arial"/>
          <w:b w:val="0"/>
          <w:sz w:val="22"/>
          <w:szCs w:val="24"/>
        </w:rPr>
        <w:t>ą</w:t>
      </w:r>
      <w:r w:rsidRPr="008202C5">
        <w:rPr>
          <w:rFonts w:ascii="Arial" w:hAnsi="Arial" w:cs="Arial"/>
          <w:b w:val="0"/>
          <w:sz w:val="22"/>
          <w:szCs w:val="24"/>
        </w:rPr>
        <w:t xml:space="preserve"> do </w:t>
      </w:r>
      <w:r w:rsidR="00AE41FA" w:rsidRPr="008202C5">
        <w:rPr>
          <w:rFonts w:ascii="Arial" w:hAnsi="Arial" w:cs="Arial"/>
          <w:b w:val="0"/>
          <w:sz w:val="22"/>
          <w:szCs w:val="24"/>
        </w:rPr>
        <w:t xml:space="preserve">oddania </w:t>
      </w:r>
      <w:r w:rsidR="0013603D" w:rsidRPr="008202C5">
        <w:rPr>
          <w:rFonts w:ascii="Arial" w:hAnsi="Arial" w:cs="Arial"/>
          <w:b w:val="0"/>
          <w:sz w:val="22"/>
          <w:szCs w:val="24"/>
        </w:rPr>
        <w:t>w dzierżawę w </w:t>
      </w:r>
      <w:r w:rsidR="00D43F7B">
        <w:rPr>
          <w:rFonts w:ascii="Arial" w:hAnsi="Arial" w:cs="Arial"/>
          <w:b w:val="0"/>
          <w:sz w:val="22"/>
          <w:szCs w:val="24"/>
        </w:rPr>
        <w:t>trybie bezprzetargowym:</w:t>
      </w:r>
    </w:p>
    <w:p w14:paraId="3B9CB2AF" w14:textId="77777777" w:rsidR="00CD3FCA" w:rsidRPr="008202C5" w:rsidRDefault="00CD3FCA" w:rsidP="001027A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1891" w:rsidRPr="008202C5" w14:paraId="1159A66E" w14:textId="77777777" w:rsidTr="0093456A">
        <w:trPr>
          <w:tblHeader/>
        </w:trPr>
        <w:tc>
          <w:tcPr>
            <w:tcW w:w="486" w:type="dxa"/>
          </w:tcPr>
          <w:p w14:paraId="057FB3AD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F1CADFF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A4BC150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7440450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7663A44" w14:textId="77777777" w:rsidR="00F117D6" w:rsidRPr="002B1891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="00F117D6"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7D62E4D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EBB1384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 w:rsidR="002B1891"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9E89D19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 w:rsidR="002B1891">
              <w:rPr>
                <w:rFonts w:ascii="Arial" w:hAnsi="Arial" w:cs="Arial"/>
                <w:sz w:val="18"/>
                <w:szCs w:val="20"/>
              </w:rPr>
              <w:t> </w:t>
            </w:r>
            <w:r w:rsidR="00446123">
              <w:rPr>
                <w:rFonts w:ascii="Arial" w:hAnsi="Arial" w:cs="Arial"/>
                <w:sz w:val="18"/>
                <w:szCs w:val="20"/>
              </w:rPr>
              <w:t>miejscowym planie zagospodarowania przestrzennego</w:t>
            </w:r>
          </w:p>
        </w:tc>
        <w:tc>
          <w:tcPr>
            <w:tcW w:w="1837" w:type="dxa"/>
          </w:tcPr>
          <w:p w14:paraId="7BDFA25E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D64EBA1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 w:rsidR="002B1891"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3B06684" w14:textId="77777777" w:rsidR="00F117D6" w:rsidRPr="00CD69B6" w:rsidRDefault="00F117D6" w:rsidP="000A6A3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1891" w:rsidRPr="008202C5" w14:paraId="4A029545" w14:textId="77777777" w:rsidTr="0093456A">
        <w:trPr>
          <w:trHeight w:val="1572"/>
        </w:trPr>
        <w:tc>
          <w:tcPr>
            <w:tcW w:w="486" w:type="dxa"/>
          </w:tcPr>
          <w:p w14:paraId="37528096" w14:textId="77777777" w:rsidR="00F117D6" w:rsidRPr="008202C5" w:rsidRDefault="008202C5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31BBDED" w14:textId="442C4A51" w:rsidR="00F117D6" w:rsidRPr="008202C5" w:rsidRDefault="00035D07" w:rsidP="000379C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="000379CE">
              <w:rPr>
                <w:rFonts w:ascii="Arial" w:hAnsi="Arial" w:cs="Arial"/>
                <w:sz w:val="18"/>
                <w:szCs w:val="18"/>
              </w:rPr>
              <w:t>Gietkowska</w:t>
            </w:r>
            <w:proofErr w:type="spellEnd"/>
          </w:p>
        </w:tc>
        <w:tc>
          <w:tcPr>
            <w:tcW w:w="1497" w:type="dxa"/>
          </w:tcPr>
          <w:p w14:paraId="0A521939" w14:textId="05B066DE" w:rsidR="00F117D6" w:rsidRPr="008202C5" w:rsidRDefault="00035D07" w:rsidP="008202C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0379CE">
              <w:rPr>
                <w:rFonts w:ascii="Arial" w:hAnsi="Arial" w:cs="Arial"/>
                <w:sz w:val="18"/>
                <w:szCs w:val="18"/>
              </w:rPr>
              <w:t>zęść działki numer 6/4, obręb 30</w:t>
            </w:r>
          </w:p>
        </w:tc>
        <w:tc>
          <w:tcPr>
            <w:tcW w:w="1698" w:type="dxa"/>
          </w:tcPr>
          <w:p w14:paraId="0A9E5762" w14:textId="1657E76E" w:rsidR="00F117D6" w:rsidRPr="008202C5" w:rsidRDefault="00035D07" w:rsidP="000379C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 w:rsidR="000379CE">
              <w:rPr>
                <w:rFonts w:ascii="Arial" w:hAnsi="Arial" w:cs="Arial"/>
                <w:sz w:val="18"/>
                <w:szCs w:val="18"/>
              </w:rPr>
              <w:t>00044673/1</w:t>
            </w:r>
          </w:p>
        </w:tc>
        <w:tc>
          <w:tcPr>
            <w:tcW w:w="1367" w:type="dxa"/>
          </w:tcPr>
          <w:p w14:paraId="778AFC80" w14:textId="35DB09AA" w:rsidR="00F117D6" w:rsidRPr="008202C5" w:rsidRDefault="000379CE" w:rsidP="000379C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8202C5"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A05B9A8" w14:textId="57F29802" w:rsidR="00F117D6" w:rsidRPr="008202C5" w:rsidRDefault="00D45EEA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zabudowana</w:t>
            </w:r>
          </w:p>
        </w:tc>
        <w:tc>
          <w:tcPr>
            <w:tcW w:w="1837" w:type="dxa"/>
          </w:tcPr>
          <w:p w14:paraId="38B01EF3" w14:textId="791CE625" w:rsidR="00F117D6" w:rsidRPr="008202C5" w:rsidRDefault="00D45EEA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 blaszany</w:t>
            </w:r>
          </w:p>
        </w:tc>
        <w:tc>
          <w:tcPr>
            <w:tcW w:w="1837" w:type="dxa"/>
          </w:tcPr>
          <w:p w14:paraId="57A01D9A" w14:textId="2880CDE2" w:rsidR="00F117D6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Według 97 – MPZP dawnych Koszar Dragonów przy ul.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Gietkowskiej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 Olsztynie działka położona jest na obszarze oznaczonym symbolem 45ZP-teren zieleni urządzonej</w:t>
            </w:r>
          </w:p>
        </w:tc>
        <w:tc>
          <w:tcPr>
            <w:tcW w:w="1837" w:type="dxa"/>
          </w:tcPr>
          <w:p w14:paraId="25272C53" w14:textId="1F5CA627" w:rsidR="00F117D6" w:rsidRPr="008202C5" w:rsidRDefault="00260BCD" w:rsidP="004C68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>zierżawa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8A3">
              <w:rPr>
                <w:rFonts w:ascii="Arial" w:hAnsi="Arial" w:cs="Arial"/>
                <w:sz w:val="18"/>
                <w:szCs w:val="18"/>
              </w:rPr>
              <w:t>do 31.12.2026 r.</w:t>
            </w:r>
          </w:p>
        </w:tc>
        <w:tc>
          <w:tcPr>
            <w:tcW w:w="1217" w:type="dxa"/>
          </w:tcPr>
          <w:p w14:paraId="6ADC44A4" w14:textId="7AD7503A" w:rsidR="00F117D6" w:rsidRPr="008202C5" w:rsidRDefault="00D45EEA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8,00 zł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+ 23%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AT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11,04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F423547" w14:textId="77777777" w:rsidR="00F117D6" w:rsidRPr="008202C5" w:rsidRDefault="008202C5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443C7716" w14:textId="77777777" w:rsidR="00F25B7E" w:rsidRPr="008202C5" w:rsidRDefault="00F25B7E" w:rsidP="001027AD">
      <w:pPr>
        <w:pStyle w:val="Standard"/>
        <w:rPr>
          <w:rFonts w:ascii="Arial" w:hAnsi="Arial" w:cs="Arial"/>
          <w:sz w:val="22"/>
          <w:szCs w:val="22"/>
        </w:rPr>
      </w:pPr>
    </w:p>
    <w:p w14:paraId="5EB1676C" w14:textId="77777777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6D991AB" w14:textId="2178A0C7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Zmiana czynszu może nastąpić w wyniku zmiany Zarządzenia Prezydenta Olsztyna w sprawie ustalenia minimalnych stawek czynszu za dzierżawę gruntów położonych w Olsztynie stanowiących własność </w:t>
      </w:r>
      <w:r w:rsidR="00D45EEA">
        <w:rPr>
          <w:rFonts w:ascii="Arial" w:hAnsi="Arial" w:cs="Arial"/>
          <w:b w:val="0"/>
          <w:sz w:val="22"/>
          <w:szCs w:val="22"/>
        </w:rPr>
        <w:t>Skarbu Państwa</w:t>
      </w:r>
      <w:r w:rsidRPr="008202C5">
        <w:rPr>
          <w:rFonts w:ascii="Arial" w:hAnsi="Arial" w:cs="Arial"/>
          <w:b w:val="0"/>
          <w:sz w:val="22"/>
          <w:szCs w:val="22"/>
        </w:rPr>
        <w:t>.</w:t>
      </w:r>
    </w:p>
    <w:p w14:paraId="73B63B7D" w14:textId="7CD66088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</w:t>
      </w:r>
      <w:r w:rsidR="0013603D" w:rsidRPr="008202C5">
        <w:rPr>
          <w:rFonts w:ascii="Arial" w:hAnsi="Arial" w:cs="Arial"/>
          <w:b w:val="0"/>
          <w:sz w:val="22"/>
          <w:szCs w:val="22"/>
        </w:rPr>
        <w:t>nym przez Urząd Miasta Olsztyna</w:t>
      </w:r>
      <w:r w:rsidR="00F277EC"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="006B0F48"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  <w:r w:rsidR="00D45EEA">
        <w:rPr>
          <w:rStyle w:val="Hipercze"/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D45EEA" w:rsidRPr="00D45EEA">
        <w:rPr>
          <w:rFonts w:ascii="Arial" w:hAnsi="Arial" w:cs="Arial"/>
          <w:b w:val="0"/>
          <w:sz w:val="22"/>
          <w:szCs w:val="22"/>
        </w:rPr>
        <w:t xml:space="preserve">oraz w Biuletynie Informacji Publicznej, prowadzonym przez Wojewodę Warmińsko-Mazurskiego pod adresem </w:t>
      </w:r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gov.pl/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uw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warminsko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-mazurski</w:t>
      </w:r>
    </w:p>
    <w:p w14:paraId="3115199B" w14:textId="67805448" w:rsidR="0013603D" w:rsidRDefault="0013603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12E4EBC" w14:textId="77777777" w:rsidR="00D45EEA" w:rsidRPr="008202C5" w:rsidRDefault="00D45EEA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1841811" w14:textId="77777777" w:rsidR="00F25B7E" w:rsidRPr="008202C5" w:rsidRDefault="00F25B7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39C05F7" w14:textId="1817E386" w:rsidR="00827718" w:rsidRDefault="00D45EEA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Barbara Kalbarczyk</w:t>
      </w:r>
      <w:r w:rsidR="00F25B7E" w:rsidRPr="008202C5">
        <w:rPr>
          <w:rFonts w:ascii="Arial" w:hAnsi="Arial" w:cs="Arial"/>
          <w:i/>
          <w:iCs/>
          <w:sz w:val="18"/>
          <w:szCs w:val="18"/>
        </w:rPr>
        <w:t xml:space="preserve">  tel. 89 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>50 60</w:t>
      </w:r>
      <w:r w:rsidR="00345FFC">
        <w:rPr>
          <w:rFonts w:ascii="Arial" w:hAnsi="Arial" w:cs="Arial"/>
          <w:i/>
          <w:iCs/>
          <w:sz w:val="18"/>
          <w:szCs w:val="18"/>
        </w:rPr>
        <w:t> </w:t>
      </w:r>
      <w:r>
        <w:rPr>
          <w:rFonts w:ascii="Arial" w:hAnsi="Arial" w:cs="Arial"/>
          <w:i/>
          <w:iCs/>
          <w:sz w:val="18"/>
          <w:szCs w:val="18"/>
        </w:rPr>
        <w:t>341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39D9AA3" w14:textId="77777777" w:rsidR="00345FFC" w:rsidRPr="008202C5" w:rsidRDefault="00345FFC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sectPr w:rsidR="00345FFC" w:rsidRPr="008202C5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EA"/>
    <w:rsid w:val="00011C86"/>
    <w:rsid w:val="00031A1C"/>
    <w:rsid w:val="00035D07"/>
    <w:rsid w:val="000379CE"/>
    <w:rsid w:val="00087B12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71D57"/>
    <w:rsid w:val="001A0A8C"/>
    <w:rsid w:val="001B62AB"/>
    <w:rsid w:val="001C6C9C"/>
    <w:rsid w:val="001D6A59"/>
    <w:rsid w:val="00206775"/>
    <w:rsid w:val="00210606"/>
    <w:rsid w:val="0021509A"/>
    <w:rsid w:val="0022319D"/>
    <w:rsid w:val="00260BCD"/>
    <w:rsid w:val="00272379"/>
    <w:rsid w:val="00282EAB"/>
    <w:rsid w:val="00294712"/>
    <w:rsid w:val="002B1891"/>
    <w:rsid w:val="002B2095"/>
    <w:rsid w:val="002D28FA"/>
    <w:rsid w:val="002E54D4"/>
    <w:rsid w:val="00301248"/>
    <w:rsid w:val="00317B38"/>
    <w:rsid w:val="003233C0"/>
    <w:rsid w:val="00334058"/>
    <w:rsid w:val="00345DCB"/>
    <w:rsid w:val="00345FFC"/>
    <w:rsid w:val="00347452"/>
    <w:rsid w:val="003518F6"/>
    <w:rsid w:val="00353C9F"/>
    <w:rsid w:val="0035580E"/>
    <w:rsid w:val="003B06E4"/>
    <w:rsid w:val="003C27CB"/>
    <w:rsid w:val="003D40DC"/>
    <w:rsid w:val="003E0F95"/>
    <w:rsid w:val="003E48DD"/>
    <w:rsid w:val="003F6433"/>
    <w:rsid w:val="004222BB"/>
    <w:rsid w:val="00436DC7"/>
    <w:rsid w:val="00442DF5"/>
    <w:rsid w:val="00446123"/>
    <w:rsid w:val="00451896"/>
    <w:rsid w:val="00471793"/>
    <w:rsid w:val="00475A61"/>
    <w:rsid w:val="00476775"/>
    <w:rsid w:val="004B6D0E"/>
    <w:rsid w:val="004C1B81"/>
    <w:rsid w:val="004C68A3"/>
    <w:rsid w:val="004F4000"/>
    <w:rsid w:val="0052455F"/>
    <w:rsid w:val="005606F3"/>
    <w:rsid w:val="005631E9"/>
    <w:rsid w:val="005665BF"/>
    <w:rsid w:val="00574FD2"/>
    <w:rsid w:val="005A1A8D"/>
    <w:rsid w:val="005A76B7"/>
    <w:rsid w:val="00640ACB"/>
    <w:rsid w:val="0064429A"/>
    <w:rsid w:val="006473CE"/>
    <w:rsid w:val="006B0F48"/>
    <w:rsid w:val="006D0A74"/>
    <w:rsid w:val="006F472B"/>
    <w:rsid w:val="00733080"/>
    <w:rsid w:val="00754B66"/>
    <w:rsid w:val="00797F2A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A3CBE"/>
    <w:rsid w:val="009A72C6"/>
    <w:rsid w:val="009F46AB"/>
    <w:rsid w:val="00A01318"/>
    <w:rsid w:val="00A10A0B"/>
    <w:rsid w:val="00A22E72"/>
    <w:rsid w:val="00A23F1B"/>
    <w:rsid w:val="00A27176"/>
    <w:rsid w:val="00A378D7"/>
    <w:rsid w:val="00A75277"/>
    <w:rsid w:val="00A81AEE"/>
    <w:rsid w:val="00AB2A6F"/>
    <w:rsid w:val="00AE41FA"/>
    <w:rsid w:val="00B325A6"/>
    <w:rsid w:val="00B4741B"/>
    <w:rsid w:val="00B66867"/>
    <w:rsid w:val="00B75CF6"/>
    <w:rsid w:val="00B86679"/>
    <w:rsid w:val="00B929D5"/>
    <w:rsid w:val="00BA261F"/>
    <w:rsid w:val="00BC71CA"/>
    <w:rsid w:val="00BD3A8E"/>
    <w:rsid w:val="00BD74BE"/>
    <w:rsid w:val="00BE3FAA"/>
    <w:rsid w:val="00C20CF5"/>
    <w:rsid w:val="00C672F0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45EEA"/>
    <w:rsid w:val="00D67FB9"/>
    <w:rsid w:val="00DB001A"/>
    <w:rsid w:val="00DC45A7"/>
    <w:rsid w:val="00DD44BB"/>
    <w:rsid w:val="00DE69A9"/>
    <w:rsid w:val="00DE6EA5"/>
    <w:rsid w:val="00DF020C"/>
    <w:rsid w:val="00E04B9C"/>
    <w:rsid w:val="00E44BEF"/>
    <w:rsid w:val="00E4595C"/>
    <w:rsid w:val="00E643BF"/>
    <w:rsid w:val="00E647EA"/>
    <w:rsid w:val="00EB62B9"/>
    <w:rsid w:val="00ED4CF4"/>
    <w:rsid w:val="00F117D6"/>
    <w:rsid w:val="00F25B7E"/>
    <w:rsid w:val="00F277EC"/>
    <w:rsid w:val="00F514EC"/>
    <w:rsid w:val="00F7578A"/>
    <w:rsid w:val="00FA0A7C"/>
    <w:rsid w:val="00FB5CF8"/>
    <w:rsid w:val="00FC066C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1750-857D-478E-BDB8-92DBAAD7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</dc:title>
  <dc:subject/>
  <dc:creator>annab</dc:creator>
  <cp:keywords/>
  <dc:description/>
  <cp:lastModifiedBy>Monika Wojarska</cp:lastModifiedBy>
  <cp:revision>2</cp:revision>
  <cp:lastPrinted>2026-02-11T13:09:00Z</cp:lastPrinted>
  <dcterms:created xsi:type="dcterms:W3CDTF">2026-03-25T13:28:00Z</dcterms:created>
  <dcterms:modified xsi:type="dcterms:W3CDTF">2026-03-25T13:28:00Z</dcterms:modified>
</cp:coreProperties>
</file>