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1B51" w14:textId="77777777" w:rsidR="00375B66" w:rsidRDefault="00375B66" w:rsidP="00375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B66">
        <w:rPr>
          <w:rFonts w:ascii="Times New Roman" w:hAnsi="Times New Roman" w:cs="Times New Roman"/>
          <w:sz w:val="24"/>
          <w:szCs w:val="24"/>
        </w:rPr>
        <w:t>Uzasadnienie</w:t>
      </w:r>
    </w:p>
    <w:p w14:paraId="7B96E07E" w14:textId="77777777" w:rsidR="00F21BBB" w:rsidRDefault="00F21BBB" w:rsidP="00375B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2F3B74" w14:textId="77777777" w:rsidR="00F21BBB" w:rsidRPr="00F21BBB" w:rsidRDefault="00F21BBB" w:rsidP="00A50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BBB">
        <w:rPr>
          <w:rFonts w:ascii="Times New Roman" w:hAnsi="Times New Roman" w:cs="Times New Roman"/>
          <w:sz w:val="24"/>
          <w:szCs w:val="24"/>
        </w:rPr>
        <w:t xml:space="preserve">Na podstawie art. 5 ustawy z dnia 20 lipca 2000 r. o ogłaszaniu aktów normatywnych i niektórych innych aktów prawnych zasadne jest </w:t>
      </w:r>
      <w:r w:rsidR="00A50B0C">
        <w:rPr>
          <w:rFonts w:ascii="Times New Roman" w:hAnsi="Times New Roman" w:cs="Times New Roman"/>
          <w:sz w:val="24"/>
          <w:szCs w:val="24"/>
        </w:rPr>
        <w:t xml:space="preserve">nadanie niniejszej uchwale mocy </w:t>
      </w:r>
      <w:r w:rsidRPr="00F21BBB">
        <w:rPr>
          <w:rFonts w:ascii="Times New Roman" w:hAnsi="Times New Roman" w:cs="Times New Roman"/>
          <w:sz w:val="24"/>
          <w:szCs w:val="24"/>
        </w:rPr>
        <w:t>obowiązującej od dnia 25 marca 2026 r.</w:t>
      </w:r>
      <w:r w:rsidR="00A50B0C">
        <w:rPr>
          <w:rFonts w:ascii="Times New Roman" w:hAnsi="Times New Roman" w:cs="Times New Roman"/>
          <w:sz w:val="24"/>
          <w:szCs w:val="24"/>
        </w:rPr>
        <w:t xml:space="preserve"> tj. od daty jej podjęcia.</w:t>
      </w:r>
    </w:p>
    <w:p w14:paraId="3D08D0BE" w14:textId="77777777" w:rsidR="00F21BBB" w:rsidRPr="00F21BBB" w:rsidRDefault="00F21BBB" w:rsidP="00A50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BBB">
        <w:rPr>
          <w:rFonts w:ascii="Times New Roman" w:hAnsi="Times New Roman" w:cs="Times New Roman"/>
          <w:sz w:val="24"/>
          <w:szCs w:val="24"/>
        </w:rPr>
        <w:t>Zastosowanie takiego rozwiązania uzasadnione jest ważnym interesem publicznym, polegającym na konieczności zapewnienia niezwłocznego uruchomienia środków Państwowego Funduszu Rehabilitacji Osób Niepełnosprawnych oraz ich sprawnego i terminowego przekazania beneficjentom.</w:t>
      </w:r>
    </w:p>
    <w:p w14:paraId="163CEFAE" w14:textId="77777777" w:rsidR="00F21BBB" w:rsidRPr="00F21BBB" w:rsidRDefault="00F21BBB" w:rsidP="00A50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BBB">
        <w:rPr>
          <w:rFonts w:ascii="Times New Roman" w:hAnsi="Times New Roman" w:cs="Times New Roman"/>
          <w:sz w:val="24"/>
          <w:szCs w:val="24"/>
        </w:rPr>
        <w:t>Należy wskazać, że uchwały organów jednostek samorządu terytorialnego w sprawie określenia zadań, na które przeznacza się środki Państwowego Funduszu Rehabilitacji Osób Niepełnosprawnych, mają charakter wykonawczy i warunkują faktyczną możliwość uruchomienia środków oraz realizacji zadań z zakresu rehabilitacji zawodowej i społecznej. Proces przekazywania środków – od momentu ich podziału przez Zarząd PFRON do momentu podjęcia uchwały przez Radę – trwa zazwyczaj około dwóch miesięcy, natomiast ich publikacja oraz standardowy okres wejścia w życie powodują dalsze opóźnienia.</w:t>
      </w:r>
    </w:p>
    <w:p w14:paraId="3AC393D8" w14:textId="77777777" w:rsidR="00F21BBB" w:rsidRPr="00F21BBB" w:rsidRDefault="00F21BBB" w:rsidP="00A50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BBB">
        <w:rPr>
          <w:rFonts w:ascii="Times New Roman" w:hAnsi="Times New Roman" w:cs="Times New Roman"/>
          <w:sz w:val="24"/>
          <w:szCs w:val="24"/>
        </w:rPr>
        <w:t>Brak nadania uchwale mocy obowiązującej od dnia 25 marca 2026 r. skutkowałby przesunięciem w czasie możliwości stosowania jej przepisów, co prowadziłoby do opóźnienia realizacji zadań finansowanych ze środków PFRON oraz ograniczenia dostępności wsparcia dla osób z niepełnosprawnościami.</w:t>
      </w:r>
    </w:p>
    <w:p w14:paraId="7C0B90B2" w14:textId="77777777" w:rsidR="00F21BBB" w:rsidRPr="00F21BBB" w:rsidRDefault="00F21BBB" w:rsidP="00A50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BBB">
        <w:rPr>
          <w:rFonts w:ascii="Times New Roman" w:hAnsi="Times New Roman" w:cs="Times New Roman"/>
          <w:sz w:val="24"/>
          <w:szCs w:val="24"/>
        </w:rPr>
        <w:t>Ma to szczególne znaczenie w odniesieniu do zadań takich jak likwidacja barier architektonicznych czy dofinansowanie podjęcia działalności gospodarczej, gdzie czas uruchomienia środków bezpośrednio przekłada się na możliwość samodzielnego funkcjonowania beneficjentów oraz ich aktywizację zawodową. Opóźnienia w tym zakresie mogą skutkować ograniczeniem liczby zrealizowanych przedsięwzięć, wydłużeniem okresu pozostawania bez wsparcia, a także ryzykiem niewykorzystania środków w danym roku budżetowym.</w:t>
      </w:r>
    </w:p>
    <w:p w14:paraId="62BAE496" w14:textId="77777777" w:rsidR="00F21BBB" w:rsidRPr="00F21BBB" w:rsidRDefault="00F21BBB" w:rsidP="00A50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BBB">
        <w:rPr>
          <w:rFonts w:ascii="Times New Roman" w:hAnsi="Times New Roman" w:cs="Times New Roman"/>
          <w:sz w:val="24"/>
          <w:szCs w:val="24"/>
        </w:rPr>
        <w:t>Należy podkreślić, że niniejsza uchwała nie wprowadza nowych obowiązków po stronie jej adresatów ani nie pogarsza ich sytuacji prawnej. Przeciwnie — ma charakter korzystny, gdyż umożliwia szybszy dostęp do środków finansowych oraz form wsparcia. W konsekwencji nadanie jej mocy obowiązującej od wskazanej daty pozostaje zgodne z zasadami demokratycznego państwa prawnego, w szczególności z zasadą ochrony zaufania obywateli do państwa i stanowionego przez nie prawa.</w:t>
      </w:r>
    </w:p>
    <w:p w14:paraId="36E04C4C" w14:textId="77777777" w:rsidR="00F21BBB" w:rsidRPr="00F21BBB" w:rsidRDefault="00F21BBB" w:rsidP="00A50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BBB">
        <w:rPr>
          <w:rFonts w:ascii="Times New Roman" w:hAnsi="Times New Roman" w:cs="Times New Roman"/>
          <w:sz w:val="24"/>
          <w:szCs w:val="24"/>
        </w:rPr>
        <w:t>Wydłużenie procesu uruchamiania środków pozostawałoby również w sprzeczności z celem działania jednostek realizujących zadania z zakresu rehabilitacji społecznej i zawodowej, których istotą jest zapewnienie możliwie szybkiego i efektywnego wsparcia osobom zagrożonym wykluczeniem społecznym i zawodowym.</w:t>
      </w:r>
    </w:p>
    <w:p w14:paraId="55DBD879" w14:textId="77777777" w:rsidR="00F21BBB" w:rsidRDefault="00F21BBB" w:rsidP="00A50B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BBB">
        <w:rPr>
          <w:rFonts w:ascii="Times New Roman" w:hAnsi="Times New Roman" w:cs="Times New Roman"/>
          <w:sz w:val="24"/>
          <w:szCs w:val="24"/>
        </w:rPr>
        <w:t xml:space="preserve">Mając na uwadze powyższe, należy uznać, że spełnione są przesłanki uzasadniające nadanie uchwale mocy obowiązującej od dnia 25 marca 2026 r., zgodnie z art. 5 </w:t>
      </w:r>
      <w:r w:rsidR="00A50B0C">
        <w:rPr>
          <w:rFonts w:ascii="Times New Roman" w:hAnsi="Times New Roman" w:cs="Times New Roman"/>
          <w:sz w:val="24"/>
          <w:szCs w:val="24"/>
        </w:rPr>
        <w:t xml:space="preserve">ww. </w:t>
      </w:r>
      <w:r w:rsidRPr="00F21BBB">
        <w:rPr>
          <w:rFonts w:ascii="Times New Roman" w:hAnsi="Times New Roman" w:cs="Times New Roman"/>
          <w:sz w:val="24"/>
          <w:szCs w:val="24"/>
        </w:rPr>
        <w:t>ustawy.</w:t>
      </w:r>
    </w:p>
    <w:p w14:paraId="6E0C8421" w14:textId="77777777" w:rsidR="00F21BBB" w:rsidRDefault="00F21BBB" w:rsidP="00A50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35CE96" w14:textId="77777777" w:rsidR="00F21BBB" w:rsidRDefault="00F21BBB" w:rsidP="00A50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34036" w14:textId="77777777" w:rsidR="00F21BBB" w:rsidRDefault="00F21BBB" w:rsidP="00A50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32ADE" w14:textId="77777777" w:rsidR="00F21BBB" w:rsidRDefault="00F21BBB" w:rsidP="00A50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90328F" w14:textId="77777777" w:rsidR="00F21BBB" w:rsidRPr="00375B66" w:rsidRDefault="00F21BBB" w:rsidP="00A50B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21BBB" w:rsidRPr="00375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B66"/>
    <w:rsid w:val="00126D3C"/>
    <w:rsid w:val="00375B66"/>
    <w:rsid w:val="0053759F"/>
    <w:rsid w:val="00692017"/>
    <w:rsid w:val="00A50B0C"/>
    <w:rsid w:val="00A94E24"/>
    <w:rsid w:val="00B60D3E"/>
    <w:rsid w:val="00C856F8"/>
    <w:rsid w:val="00DE2FCD"/>
    <w:rsid w:val="00F21BBB"/>
    <w:rsid w:val="00FF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1AA8E"/>
  <w15:chartTrackingRefBased/>
  <w15:docId w15:val="{F833E79D-0B91-4212-92E7-B96CCE7D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Godlewski</dc:creator>
  <cp:keywords/>
  <dc:description/>
  <cp:lastModifiedBy>Monika Biłozor</cp:lastModifiedBy>
  <cp:revision>2</cp:revision>
  <dcterms:created xsi:type="dcterms:W3CDTF">2026-03-19T13:58:00Z</dcterms:created>
  <dcterms:modified xsi:type="dcterms:W3CDTF">2026-03-19T13:58:00Z</dcterms:modified>
</cp:coreProperties>
</file>