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431" w:rsidRPr="00ED6431" w:rsidRDefault="00ED6431" w:rsidP="00ED643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</w:pPr>
      <w:r w:rsidRPr="00ED6431">
        <w:rPr>
          <w:rFonts w:ascii="Times New Roman" w:eastAsia="Times New Roman" w:hAnsi="Times New Roman" w:cs="Times New Roman"/>
          <w:b/>
          <w:bCs/>
          <w:caps/>
          <w:color w:val="000000"/>
          <w:shd w:val="clear" w:color="auto" w:fill="FFFFFF"/>
          <w:lang w:eastAsia="pl-PL"/>
        </w:rPr>
        <w:t>uzasadnienie</w:t>
      </w:r>
    </w:p>
    <w:p w:rsidR="00ED6431" w:rsidRPr="00ED6431" w:rsidRDefault="00ED6431" w:rsidP="00ED64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ED643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Prace nad aktualizacją </w:t>
      </w:r>
      <w:r w:rsidRPr="00ED6431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pl-PL"/>
        </w:rPr>
        <w:t>Strategii Miejskiego Obszaru Funkcjonalnego Olsztyna 2030+ – Nowe wyzwania</w:t>
      </w:r>
      <w:r w:rsidRPr="00ED643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rozpoczęły się 8 listopada 2024 r. wraz z podjęciem przez Komitet Sterujący ZIT MOF Olsztyna uchwały nr 5/2024 w sprawie przystąpienia do zmian w zapisach Strategii Miejskiego Obszaru Funkcjonalnego Olsztyna 2030+ - Nowe wyzwania.</w:t>
      </w:r>
    </w:p>
    <w:p w:rsidR="00ED6431" w:rsidRPr="00ED6431" w:rsidRDefault="00ED6431" w:rsidP="00ED64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ED643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Strategia Miejskiego Obszaru Funkcjonalnego Olsztyna 2030+ Nowe wyzwania, która stanowi załącznik do projektu uchwały, to dokument strategiczny, który wskazuje kierunki rozwoju miasta i jego najbliższego sąsiedztwa w kolejnych latach, a także prezentuje działania, których realizacja pozwoli osiągnąć wyznaczone cele. Po dwóch latach realizacji strategia została ponownie przeanalizowana, aby dostosować jej zapisy do aktualnych potrzeb.</w:t>
      </w:r>
    </w:p>
    <w:p w:rsidR="00ED6431" w:rsidRPr="00ED6431" w:rsidRDefault="00ED6431" w:rsidP="00ED643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ED6431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Proponowane zmiany wiążą się przede wszystkim z aktualizacją budżetu instrumentu ZIT, którego wykorzystanie reguluje Strategia. Część środków przeznaczonych na infrastrukturę wodno-kanalizacyjną w gminach otaczających Olsztyn nie mogła zostać wykorzystana z powodu ograniczeń w przepisach dotyczących aglomeracji wodno-ściekowych. Na wniosek Instytucji Zarządzającej programem Fundusze Europejskie dla Warmii i Mazur 2021-2027 środki te zostały przesunięte w programie na działania związane m.in. z nowymi celami polityki spójności, co było wynikiem przeglądu okresowego FEWiM. Pociągnęło to za sobą konieczność dostosowania wartości wskaźników realizacji Strategii w zakresie instrumentu ZIT. Dodatkowo w części opisującej projekty komplementarne zostały wskazane przykłady projektów, jakie gminy MOF Olsztyna chciałyby realizować w poszczególnych obszarach. Wszystkie te zmiany oraz drobniejsze poprawki zawiera wykaz zmian również stanowiący Załącznik nr 2 do projektu uchwały.</w:t>
      </w:r>
    </w:p>
    <w:p w:rsidR="004E7CB8" w:rsidRDefault="00ED6431">
      <w:bookmarkStart w:id="0" w:name="_GoBack"/>
      <w:bookmarkEnd w:id="0"/>
    </w:p>
    <w:sectPr w:rsidR="004E7CB8" w:rsidSect="00DD0F60">
      <w:pgSz w:w="11907" w:h="16839" w:code="9"/>
      <w:pgMar w:top="1440" w:right="862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431"/>
    <w:rsid w:val="00123AB3"/>
    <w:rsid w:val="003B2B87"/>
    <w:rsid w:val="00485226"/>
    <w:rsid w:val="004A613D"/>
    <w:rsid w:val="004E5568"/>
    <w:rsid w:val="0050279F"/>
    <w:rsid w:val="005C20FA"/>
    <w:rsid w:val="005D459E"/>
    <w:rsid w:val="00610720"/>
    <w:rsid w:val="00751625"/>
    <w:rsid w:val="00956C3B"/>
    <w:rsid w:val="00962E91"/>
    <w:rsid w:val="00B43D78"/>
    <w:rsid w:val="00E83E0E"/>
    <w:rsid w:val="00ED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CF9BE-94BE-49F8-9E0F-4931FA9FF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Stankiewicz</dc:creator>
  <cp:keywords/>
  <dc:description/>
  <cp:lastModifiedBy>Monika Stankiewicz</cp:lastModifiedBy>
  <cp:revision>1</cp:revision>
  <dcterms:created xsi:type="dcterms:W3CDTF">2026-02-06T10:45:00Z</dcterms:created>
  <dcterms:modified xsi:type="dcterms:W3CDTF">2026-02-06T10:46:00Z</dcterms:modified>
</cp:coreProperties>
</file>