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9BB692" w14:textId="3BC15B38" w:rsidR="005E0596" w:rsidRPr="00861AAF" w:rsidRDefault="005E0596" w:rsidP="005E0596">
      <w:pPr>
        <w:pStyle w:val="Tytu"/>
      </w:pPr>
      <w:r w:rsidRPr="005E0596">
        <w:rPr>
          <w:rFonts w:ascii="Arial" w:hAnsi="Arial" w:cs="Arial"/>
          <w:sz w:val="24"/>
          <w:szCs w:val="28"/>
        </w:rPr>
        <w:t>WYKAZ NIERUCHOMOŚCI PRZEZNACZONEJ DO SPRZEDAŻY W TRYBIE BEZPRZETARGOWYM</w:t>
      </w:r>
    </w:p>
    <w:p w14:paraId="13B7EB77" w14:textId="604BC40F" w:rsidR="005E0596" w:rsidRDefault="005E0596" w:rsidP="005E059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Na podstawie art. 35 ustawy z dnia 21 sierpnia 1997 r. o gospodarce nieruchomościami (</w:t>
      </w:r>
      <w:proofErr w:type="spellStart"/>
      <w:r>
        <w:rPr>
          <w:rFonts w:ascii="Arial" w:hAnsi="Arial" w:cs="Arial"/>
          <w:b w:val="0"/>
          <w:sz w:val="22"/>
          <w:szCs w:val="24"/>
        </w:rPr>
        <w:t>t.j</w:t>
      </w:r>
      <w:proofErr w:type="spellEnd"/>
      <w:r>
        <w:rPr>
          <w:rFonts w:ascii="Arial" w:hAnsi="Arial" w:cs="Arial"/>
          <w:b w:val="0"/>
          <w:sz w:val="22"/>
          <w:szCs w:val="24"/>
        </w:rPr>
        <w:t xml:space="preserve">. Dz. U. z 2024 r. poz. 1145 ze zm.) podaję do publicznej wiadomości na okres 21 dni tj. od dnia </w:t>
      </w:r>
      <w:r w:rsidR="00E651B6">
        <w:rPr>
          <w:rFonts w:ascii="Arial" w:hAnsi="Arial" w:cs="Arial"/>
          <w:b w:val="0"/>
          <w:sz w:val="22"/>
          <w:szCs w:val="24"/>
        </w:rPr>
        <w:t>12 marca</w:t>
      </w:r>
      <w:r>
        <w:rPr>
          <w:rFonts w:ascii="Arial" w:hAnsi="Arial" w:cs="Arial"/>
          <w:b w:val="0"/>
          <w:sz w:val="22"/>
          <w:szCs w:val="24"/>
        </w:rPr>
        <w:t xml:space="preserve"> 2026 r. do </w:t>
      </w:r>
      <w:r w:rsidR="0030391E">
        <w:rPr>
          <w:rFonts w:ascii="Arial" w:hAnsi="Arial" w:cs="Arial"/>
          <w:b w:val="0"/>
          <w:sz w:val="22"/>
          <w:szCs w:val="24"/>
        </w:rPr>
        <w:t xml:space="preserve">dnia </w:t>
      </w:r>
      <w:r w:rsidR="00E651B6">
        <w:rPr>
          <w:rFonts w:ascii="Arial" w:hAnsi="Arial" w:cs="Arial"/>
          <w:b w:val="0"/>
          <w:sz w:val="22"/>
          <w:szCs w:val="24"/>
        </w:rPr>
        <w:t>02 kwietnia</w:t>
      </w:r>
      <w:r>
        <w:rPr>
          <w:rFonts w:ascii="Arial" w:hAnsi="Arial" w:cs="Arial"/>
          <w:b w:val="0"/>
          <w:sz w:val="22"/>
          <w:szCs w:val="24"/>
        </w:rPr>
        <w:t xml:space="preserve"> 2026 r. wykaz obejmujący nieruchomość Gminy Olsztyn, z</w:t>
      </w:r>
      <w:r w:rsidR="00855A0C">
        <w:rPr>
          <w:rFonts w:ascii="Arial" w:hAnsi="Arial" w:cs="Arial"/>
          <w:b w:val="0"/>
          <w:sz w:val="22"/>
          <w:szCs w:val="24"/>
        </w:rPr>
        <w:t> </w:t>
      </w:r>
      <w:r>
        <w:rPr>
          <w:rFonts w:ascii="Arial" w:hAnsi="Arial" w:cs="Arial"/>
          <w:b w:val="0"/>
          <w:sz w:val="22"/>
          <w:szCs w:val="24"/>
        </w:rPr>
        <w:t>przeznaczeniem do sprzedaży w trybie bezprzetargowym.</w:t>
      </w:r>
    </w:p>
    <w:p w14:paraId="11D0E16A" w14:textId="77777777" w:rsidR="005E0596" w:rsidRDefault="005E0596" w:rsidP="005E059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2953" w:type="dxa"/>
        <w:tblInd w:w="367" w:type="dxa"/>
        <w:tblLayout w:type="fixed"/>
        <w:tblLook w:val="04A0" w:firstRow="1" w:lastRow="0" w:firstColumn="1" w:lastColumn="0" w:noHBand="0" w:noVBand="1"/>
        <w:tblCaption w:val="wykaz nieruchomości przeznaczonej do sprzedaży w trybie bezprzetargowym"/>
      </w:tblPr>
      <w:tblGrid>
        <w:gridCol w:w="512"/>
        <w:gridCol w:w="1668"/>
        <w:gridCol w:w="1559"/>
        <w:gridCol w:w="1701"/>
        <w:gridCol w:w="851"/>
        <w:gridCol w:w="1559"/>
        <w:gridCol w:w="1701"/>
        <w:gridCol w:w="1854"/>
        <w:gridCol w:w="1548"/>
      </w:tblGrid>
      <w:tr w:rsidR="005E0596" w14:paraId="142E3EC4" w14:textId="77777777" w:rsidTr="002B725C">
        <w:trPr>
          <w:tblHeader/>
        </w:trPr>
        <w:tc>
          <w:tcPr>
            <w:tcW w:w="512" w:type="dxa"/>
          </w:tcPr>
          <w:p w14:paraId="1564674B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668" w:type="dxa"/>
          </w:tcPr>
          <w:p w14:paraId="47DB5C2C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559" w:type="dxa"/>
          </w:tcPr>
          <w:p w14:paraId="456BD91A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 i budynków (obręb-nr działki)</w:t>
            </w:r>
          </w:p>
        </w:tc>
        <w:tc>
          <w:tcPr>
            <w:tcW w:w="1701" w:type="dxa"/>
          </w:tcPr>
          <w:p w14:paraId="5574A179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851" w:type="dxa"/>
          </w:tcPr>
          <w:p w14:paraId="76636F6D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Pow. (m</w:t>
            </w:r>
            <w:r w:rsidRPr="002A237A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559" w:type="dxa"/>
          </w:tcPr>
          <w:p w14:paraId="5FB6ABF2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701" w:type="dxa"/>
          </w:tcPr>
          <w:p w14:paraId="7DEF4CC9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/ przeznaczenie w 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mpzp</w:t>
            </w:r>
            <w:proofErr w:type="spellEnd"/>
          </w:p>
        </w:tc>
        <w:tc>
          <w:tcPr>
            <w:tcW w:w="1854" w:type="dxa"/>
          </w:tcPr>
          <w:p w14:paraId="6061AE1C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Forma przekazania</w:t>
            </w:r>
          </w:p>
        </w:tc>
        <w:tc>
          <w:tcPr>
            <w:tcW w:w="1548" w:type="dxa"/>
          </w:tcPr>
          <w:p w14:paraId="1E614203" w14:textId="77777777" w:rsidR="005E0596" w:rsidRPr="005E0596" w:rsidRDefault="005E0596" w:rsidP="00E0724A">
            <w:pPr>
              <w:pStyle w:val="Nagwek1"/>
              <w:spacing w:before="0" w:after="0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5E0596">
              <w:rPr>
                <w:rFonts w:ascii="Arial" w:hAnsi="Arial" w:cs="Arial"/>
                <w:sz w:val="18"/>
                <w:szCs w:val="20"/>
              </w:rPr>
              <w:t>C</w:t>
            </w:r>
            <w:r>
              <w:rPr>
                <w:rFonts w:ascii="Arial" w:hAnsi="Arial" w:cs="Arial"/>
                <w:sz w:val="18"/>
                <w:szCs w:val="20"/>
              </w:rPr>
              <w:t>ena nieruchomości</w:t>
            </w:r>
          </w:p>
        </w:tc>
      </w:tr>
      <w:tr w:rsidR="005E0596" w14:paraId="1A7D06D0" w14:textId="77777777" w:rsidTr="002B725C">
        <w:trPr>
          <w:trHeight w:val="1572"/>
          <w:tblHeader/>
        </w:trPr>
        <w:tc>
          <w:tcPr>
            <w:tcW w:w="512" w:type="dxa"/>
          </w:tcPr>
          <w:p w14:paraId="4D2A983B" w14:textId="77777777" w:rsidR="005E0596" w:rsidRP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68" w:type="dxa"/>
          </w:tcPr>
          <w:p w14:paraId="12AB7646" w14:textId="77777777" w:rsid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187676">
              <w:rPr>
                <w:rFonts w:ascii="Arial" w:hAnsi="Arial" w:cs="Arial"/>
                <w:sz w:val="18"/>
                <w:szCs w:val="18"/>
              </w:rPr>
              <w:t>Ratuszowa 11</w:t>
            </w:r>
          </w:p>
          <w:p w14:paraId="761EDDA8" w14:textId="613F2CEA" w:rsidR="00187676" w:rsidRPr="005E0596" w:rsidRDefault="00E06932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Ratuszowa</w:t>
            </w:r>
          </w:p>
        </w:tc>
        <w:tc>
          <w:tcPr>
            <w:tcW w:w="1559" w:type="dxa"/>
          </w:tcPr>
          <w:p w14:paraId="3E30BF7F" w14:textId="77777777" w:rsidR="005E0596" w:rsidRDefault="00187676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63-92</w:t>
            </w:r>
          </w:p>
          <w:p w14:paraId="1093C389" w14:textId="0FC11D57" w:rsidR="00E06932" w:rsidRDefault="00E06932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63-91/8</w:t>
            </w:r>
          </w:p>
          <w:p w14:paraId="192A6826" w14:textId="574DBBCE" w:rsidR="00187676" w:rsidRPr="005E0596" w:rsidRDefault="00187676" w:rsidP="005E05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55860F" w14:textId="77777777" w:rsid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OL1O/001</w:t>
            </w:r>
            <w:r w:rsidR="00187676">
              <w:rPr>
                <w:rFonts w:ascii="Arial" w:hAnsi="Arial" w:cs="Arial"/>
                <w:sz w:val="18"/>
                <w:szCs w:val="18"/>
              </w:rPr>
              <w:t>84174</w:t>
            </w:r>
            <w:r w:rsidRPr="005E0596">
              <w:rPr>
                <w:rFonts w:ascii="Arial" w:hAnsi="Arial" w:cs="Arial"/>
                <w:sz w:val="18"/>
                <w:szCs w:val="18"/>
              </w:rPr>
              <w:t>/</w:t>
            </w:r>
            <w:r w:rsidR="00187676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0AEA45DC" w14:textId="13E54F9C" w:rsidR="00187676" w:rsidRPr="005E0596" w:rsidRDefault="00E06932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063346</w:t>
            </w:r>
            <w:r w:rsidRPr="005E0596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0DDBF68F" w14:textId="77777777" w:rsidR="005E0596" w:rsidRDefault="00187676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  <w:p w14:paraId="5886CA68" w14:textId="3168D9F5" w:rsidR="00187676" w:rsidRPr="005E0596" w:rsidRDefault="00E06932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  <w:r w:rsidR="002B725C">
              <w:rPr>
                <w:rFonts w:ascii="Arial" w:hAnsi="Arial" w:cs="Arial"/>
                <w:sz w:val="18"/>
                <w:szCs w:val="18"/>
              </w:rPr>
              <w:t xml:space="preserve"> łącznie: 468</w:t>
            </w:r>
          </w:p>
        </w:tc>
        <w:tc>
          <w:tcPr>
            <w:tcW w:w="1559" w:type="dxa"/>
          </w:tcPr>
          <w:p w14:paraId="460FEE8B" w14:textId="72422D09" w:rsidR="005E0596" w:rsidRPr="005E0596" w:rsidRDefault="00003BBB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Zabudowana budynkiem mieszkalnym wpisanym do rejestru zabytków</w:t>
            </w:r>
            <w:r w:rsidR="00E06932">
              <w:rPr>
                <w:rFonts w:ascii="Arial" w:hAnsi="Arial" w:cs="Arial"/>
                <w:sz w:val="18"/>
                <w:szCs w:val="18"/>
              </w:rPr>
              <w:t xml:space="preserve"> oraz dwoma budynkami niemieszkalnymi</w:t>
            </w:r>
          </w:p>
        </w:tc>
        <w:tc>
          <w:tcPr>
            <w:tcW w:w="1701" w:type="dxa"/>
          </w:tcPr>
          <w:p w14:paraId="6C3F2083" w14:textId="21B8B21D" w:rsidR="005E0596" w:rsidRPr="005E0596" w:rsidRDefault="00003BBB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cele sakralne/ brak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mpzp</w:t>
            </w:r>
            <w:proofErr w:type="spellEnd"/>
          </w:p>
        </w:tc>
        <w:tc>
          <w:tcPr>
            <w:tcW w:w="1854" w:type="dxa"/>
          </w:tcPr>
          <w:p w14:paraId="4CCF2F82" w14:textId="6FC6AAD4" w:rsidR="005E0596" w:rsidRPr="005E0596" w:rsidRDefault="005E0596" w:rsidP="005E0596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Sprzedaż w trybie bezprzetargowym </w:t>
            </w:r>
          </w:p>
        </w:tc>
        <w:tc>
          <w:tcPr>
            <w:tcW w:w="1548" w:type="dxa"/>
          </w:tcPr>
          <w:p w14:paraId="7BCC8A23" w14:textId="77777777" w:rsidR="005E0596" w:rsidRDefault="00003BBB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1 100 000</w:t>
            </w:r>
            <w:r w:rsidR="005E0596" w:rsidRPr="005E0596">
              <w:rPr>
                <w:rFonts w:ascii="Arial" w:hAnsi="Arial" w:cs="Arial"/>
                <w:sz w:val="18"/>
                <w:szCs w:val="18"/>
              </w:rPr>
              <w:t>,00 zł</w:t>
            </w:r>
          </w:p>
          <w:p w14:paraId="24CBD82B" w14:textId="77777777" w:rsidR="00E06932" w:rsidRDefault="00E06932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300 000,00 zł</w:t>
            </w:r>
          </w:p>
          <w:p w14:paraId="435E7A0C" w14:textId="5847EF36" w:rsidR="00E06932" w:rsidRPr="005E0596" w:rsidRDefault="00E06932" w:rsidP="005E0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łącznie: 1 400 000,00 zł </w:t>
            </w:r>
          </w:p>
        </w:tc>
      </w:tr>
    </w:tbl>
    <w:p w14:paraId="497B14FB" w14:textId="77777777" w:rsidR="005E0596" w:rsidRDefault="005E0596" w:rsidP="005E0596">
      <w:pPr>
        <w:pStyle w:val="Standard"/>
        <w:rPr>
          <w:rFonts w:ascii="Arial" w:hAnsi="Arial" w:cs="Arial"/>
          <w:sz w:val="22"/>
          <w:szCs w:val="22"/>
        </w:rPr>
      </w:pPr>
    </w:p>
    <w:p w14:paraId="75B00422" w14:textId="2C77F8FF" w:rsidR="005E0596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Uwaga! Osoby, którym przysługuje pierwszeństwo w nabyciu nieruchomości na podstawie art. 34 ust. 1 pkt. 1 i 2 ustawy z dnia 21 sierpnia 1997 r. o gospodarce nieruchomościami (</w:t>
      </w:r>
      <w:proofErr w:type="spellStart"/>
      <w:r>
        <w:rPr>
          <w:rFonts w:ascii="Arial" w:hAnsi="Arial" w:cs="Arial"/>
          <w:b w:val="0"/>
          <w:sz w:val="22"/>
          <w:szCs w:val="22"/>
        </w:rPr>
        <w:t>t.j</w:t>
      </w:r>
      <w:proofErr w:type="spellEnd"/>
      <w:r>
        <w:rPr>
          <w:rFonts w:ascii="Arial" w:hAnsi="Arial" w:cs="Arial"/>
          <w:b w:val="0"/>
          <w:sz w:val="22"/>
          <w:szCs w:val="22"/>
        </w:rPr>
        <w:t>. Dz. U. z 2024 r. poz. 1145 ze zm.) winny złożyć wnioski w terminie 6 tygodni od daty podania niniejszego wykazu do publicznej wiadomości.</w:t>
      </w:r>
      <w:r w:rsidR="006621C2">
        <w:rPr>
          <w:rFonts w:ascii="Arial" w:hAnsi="Arial" w:cs="Arial"/>
          <w:b w:val="0"/>
          <w:sz w:val="22"/>
          <w:szCs w:val="22"/>
        </w:rPr>
        <w:t xml:space="preserve"> </w:t>
      </w:r>
      <w:r w:rsidR="006621C2" w:rsidRPr="006621C2">
        <w:rPr>
          <w:rFonts w:ascii="Arial" w:hAnsi="Arial" w:cs="Arial"/>
          <w:b w:val="0"/>
          <w:sz w:val="22"/>
          <w:szCs w:val="22"/>
        </w:rPr>
        <w:t>Nieruchomość składająca się z działki nr 92 obręb 63, wpisana jest do rejestru zabytków decyzją Warmińsko-Mazurskiego Wojewódzkiego Konserwatora Zabytków znak: KL.5340/204/88 z dnia 30.09.1988 r. Zgodnie z Uchwałą nr X</w:t>
      </w:r>
      <w:r w:rsidR="006621C2">
        <w:rPr>
          <w:rFonts w:ascii="Arial" w:hAnsi="Arial" w:cs="Arial"/>
          <w:b w:val="0"/>
          <w:sz w:val="22"/>
          <w:szCs w:val="22"/>
        </w:rPr>
        <w:t>XIII/323</w:t>
      </w:r>
      <w:r w:rsidR="006621C2" w:rsidRPr="006621C2">
        <w:rPr>
          <w:rFonts w:ascii="Arial" w:hAnsi="Arial" w:cs="Arial"/>
          <w:b w:val="0"/>
          <w:sz w:val="22"/>
          <w:szCs w:val="22"/>
        </w:rPr>
        <w:t>/2</w:t>
      </w:r>
      <w:r w:rsidR="006621C2">
        <w:rPr>
          <w:rFonts w:ascii="Arial" w:hAnsi="Arial" w:cs="Arial"/>
          <w:b w:val="0"/>
          <w:sz w:val="22"/>
          <w:szCs w:val="22"/>
        </w:rPr>
        <w:t>6</w:t>
      </w:r>
      <w:r w:rsidR="006621C2" w:rsidRPr="006621C2">
        <w:rPr>
          <w:rFonts w:ascii="Arial" w:hAnsi="Arial" w:cs="Arial"/>
          <w:b w:val="0"/>
          <w:sz w:val="22"/>
          <w:szCs w:val="22"/>
        </w:rPr>
        <w:t xml:space="preserve"> Rady Miasta Olsztyna z dnia </w:t>
      </w:r>
      <w:r w:rsidR="006621C2">
        <w:rPr>
          <w:rFonts w:ascii="Arial" w:hAnsi="Arial" w:cs="Arial"/>
          <w:b w:val="0"/>
          <w:sz w:val="22"/>
          <w:szCs w:val="22"/>
        </w:rPr>
        <w:t>25</w:t>
      </w:r>
      <w:r w:rsidR="006621C2" w:rsidRPr="006621C2">
        <w:rPr>
          <w:rFonts w:ascii="Arial" w:hAnsi="Arial" w:cs="Arial"/>
          <w:b w:val="0"/>
          <w:sz w:val="22"/>
          <w:szCs w:val="22"/>
        </w:rPr>
        <w:t xml:space="preserve"> </w:t>
      </w:r>
      <w:r w:rsidR="006621C2">
        <w:rPr>
          <w:rFonts w:ascii="Arial" w:hAnsi="Arial" w:cs="Arial"/>
          <w:b w:val="0"/>
          <w:sz w:val="22"/>
          <w:szCs w:val="22"/>
        </w:rPr>
        <w:t>lutego</w:t>
      </w:r>
      <w:r w:rsidR="006621C2" w:rsidRPr="006621C2">
        <w:rPr>
          <w:rFonts w:ascii="Arial" w:hAnsi="Arial" w:cs="Arial"/>
          <w:b w:val="0"/>
          <w:sz w:val="22"/>
          <w:szCs w:val="22"/>
        </w:rPr>
        <w:t xml:space="preserve"> 202</w:t>
      </w:r>
      <w:r w:rsidR="006621C2">
        <w:rPr>
          <w:rFonts w:ascii="Arial" w:hAnsi="Arial" w:cs="Arial"/>
          <w:b w:val="0"/>
          <w:sz w:val="22"/>
          <w:szCs w:val="22"/>
        </w:rPr>
        <w:t>6</w:t>
      </w:r>
      <w:r w:rsidR="006621C2" w:rsidRPr="006621C2">
        <w:rPr>
          <w:rFonts w:ascii="Arial" w:hAnsi="Arial" w:cs="Arial"/>
          <w:b w:val="0"/>
          <w:sz w:val="22"/>
          <w:szCs w:val="22"/>
        </w:rPr>
        <w:t xml:space="preserve"> r. cena nieruchomości zostanie obniżona o </w:t>
      </w:r>
      <w:r w:rsidR="006621C2">
        <w:rPr>
          <w:rFonts w:ascii="Arial" w:hAnsi="Arial" w:cs="Arial"/>
          <w:b w:val="0"/>
          <w:sz w:val="22"/>
          <w:szCs w:val="22"/>
        </w:rPr>
        <w:t>7</w:t>
      </w:r>
      <w:r w:rsidR="006621C2" w:rsidRPr="006621C2">
        <w:rPr>
          <w:rFonts w:ascii="Arial" w:hAnsi="Arial" w:cs="Arial"/>
          <w:b w:val="0"/>
          <w:sz w:val="22"/>
          <w:szCs w:val="22"/>
        </w:rPr>
        <w:t>0%</w:t>
      </w:r>
      <w:r w:rsidR="008260D6">
        <w:rPr>
          <w:rFonts w:ascii="Arial" w:hAnsi="Arial" w:cs="Arial"/>
          <w:b w:val="0"/>
          <w:sz w:val="22"/>
          <w:szCs w:val="22"/>
        </w:rPr>
        <w:t>.</w:t>
      </w:r>
    </w:p>
    <w:p w14:paraId="7C9B8249" w14:textId="5AB0C80D" w:rsidR="005E0596" w:rsidRDefault="005E0596" w:rsidP="006621C2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Sprzedaż nieruchomości </w:t>
      </w:r>
      <w:r w:rsidR="00EB1351">
        <w:rPr>
          <w:rFonts w:ascii="Arial" w:hAnsi="Arial" w:cs="Arial"/>
          <w:b w:val="0"/>
          <w:sz w:val="22"/>
          <w:szCs w:val="22"/>
        </w:rPr>
        <w:t>zwolniona jest z podatku VAT.</w:t>
      </w:r>
    </w:p>
    <w:p w14:paraId="74E2271F" w14:textId="77777777" w:rsidR="005E0596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znajduje się w Biuletynie Informacji Publicznej, prowadzonym przez Urząd Miasta Olsztyna, pod adresem </w:t>
      </w:r>
      <w:hyperlink r:id="rId6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i na elektronicznej tablicy ogłoszeń ETO. </w:t>
      </w:r>
    </w:p>
    <w:p w14:paraId="2303D32A" w14:textId="77777777" w:rsidR="005E0596" w:rsidRDefault="005E0596" w:rsidP="005E059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4C8B252" w14:textId="77777777" w:rsidR="005E0596" w:rsidRPr="005E0596" w:rsidRDefault="005E0596" w:rsidP="005E0596">
      <w:pPr>
        <w:pStyle w:val="Standard"/>
      </w:pPr>
      <w:r w:rsidRPr="005E0596">
        <w:t>Informacja:</w:t>
      </w:r>
    </w:p>
    <w:p w14:paraId="026DD93F" w14:textId="535A6BA4" w:rsidR="005E0596" w:rsidRPr="005E0596" w:rsidRDefault="005E0596" w:rsidP="005E0596">
      <w:pPr>
        <w:pStyle w:val="Standard"/>
      </w:pPr>
      <w:r w:rsidRPr="005E0596">
        <w:t>tel. 89 50 60 33</w:t>
      </w:r>
      <w:r w:rsidR="00EB1351">
        <w:t>6</w:t>
      </w:r>
    </w:p>
    <w:p w14:paraId="3E3DC489" w14:textId="4C7A249B" w:rsidR="00F25B7E" w:rsidRPr="00F3667D" w:rsidRDefault="005E0596" w:rsidP="001E6983">
      <w:pPr>
        <w:pStyle w:val="Standard"/>
      </w:pPr>
      <w:r w:rsidRPr="005E0596">
        <w:t>Urząd Miasta, pok. 11</w:t>
      </w:r>
      <w:r w:rsidR="00EB1351">
        <w:t>2</w:t>
      </w:r>
    </w:p>
    <w:sectPr w:rsidR="00F25B7E" w:rsidRPr="00F3667D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altName w:val="Cambria"/>
    <w:charset w:val="02"/>
    <w:family w:val="auto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7770142">
    <w:abstractNumId w:val="0"/>
  </w:num>
  <w:num w:numId="2" w16cid:durableId="81340793">
    <w:abstractNumId w:val="1"/>
  </w:num>
  <w:num w:numId="3" w16cid:durableId="1564095624">
    <w:abstractNumId w:val="1"/>
  </w:num>
  <w:num w:numId="4" w16cid:durableId="148415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0263C"/>
    <w:rsid w:val="00003BBB"/>
    <w:rsid w:val="00011C86"/>
    <w:rsid w:val="00031A1C"/>
    <w:rsid w:val="00035D07"/>
    <w:rsid w:val="00037219"/>
    <w:rsid w:val="00087B12"/>
    <w:rsid w:val="000A33FC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646BB"/>
    <w:rsid w:val="00171D57"/>
    <w:rsid w:val="00187676"/>
    <w:rsid w:val="001A0A8C"/>
    <w:rsid w:val="001B62AB"/>
    <w:rsid w:val="001C6C9C"/>
    <w:rsid w:val="001D4A71"/>
    <w:rsid w:val="001D6A59"/>
    <w:rsid w:val="001E6983"/>
    <w:rsid w:val="001F4F0B"/>
    <w:rsid w:val="00206775"/>
    <w:rsid w:val="00210606"/>
    <w:rsid w:val="0021509A"/>
    <w:rsid w:val="0022319D"/>
    <w:rsid w:val="00272379"/>
    <w:rsid w:val="00282972"/>
    <w:rsid w:val="00282EAB"/>
    <w:rsid w:val="00294712"/>
    <w:rsid w:val="002A237A"/>
    <w:rsid w:val="002B1891"/>
    <w:rsid w:val="002B2095"/>
    <w:rsid w:val="002B725C"/>
    <w:rsid w:val="002D28FA"/>
    <w:rsid w:val="002E54D4"/>
    <w:rsid w:val="002E67E7"/>
    <w:rsid w:val="00301248"/>
    <w:rsid w:val="0030391E"/>
    <w:rsid w:val="00317B38"/>
    <w:rsid w:val="003233C0"/>
    <w:rsid w:val="00325031"/>
    <w:rsid w:val="00334058"/>
    <w:rsid w:val="00345DCB"/>
    <w:rsid w:val="00345FFC"/>
    <w:rsid w:val="00347452"/>
    <w:rsid w:val="003518F6"/>
    <w:rsid w:val="00353C9F"/>
    <w:rsid w:val="0035580E"/>
    <w:rsid w:val="00357E1C"/>
    <w:rsid w:val="003B06E4"/>
    <w:rsid w:val="003C27CB"/>
    <w:rsid w:val="003D40DC"/>
    <w:rsid w:val="003D7330"/>
    <w:rsid w:val="003E0F95"/>
    <w:rsid w:val="003E48DD"/>
    <w:rsid w:val="003F6433"/>
    <w:rsid w:val="004222BB"/>
    <w:rsid w:val="004329F8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E4A9E"/>
    <w:rsid w:val="004F4000"/>
    <w:rsid w:val="00520CA0"/>
    <w:rsid w:val="0052455F"/>
    <w:rsid w:val="005606F3"/>
    <w:rsid w:val="005631E9"/>
    <w:rsid w:val="005665BF"/>
    <w:rsid w:val="00574FD2"/>
    <w:rsid w:val="005911A3"/>
    <w:rsid w:val="005A1A8D"/>
    <w:rsid w:val="005A76B7"/>
    <w:rsid w:val="005C5F76"/>
    <w:rsid w:val="005E0596"/>
    <w:rsid w:val="005E19C2"/>
    <w:rsid w:val="00640ACB"/>
    <w:rsid w:val="00642484"/>
    <w:rsid w:val="0064429A"/>
    <w:rsid w:val="006473CE"/>
    <w:rsid w:val="00651E65"/>
    <w:rsid w:val="006621C2"/>
    <w:rsid w:val="006871C8"/>
    <w:rsid w:val="006B0F48"/>
    <w:rsid w:val="006D0A74"/>
    <w:rsid w:val="006F472B"/>
    <w:rsid w:val="00733080"/>
    <w:rsid w:val="00747C72"/>
    <w:rsid w:val="00754B66"/>
    <w:rsid w:val="00776CCD"/>
    <w:rsid w:val="00797F2A"/>
    <w:rsid w:val="007E3068"/>
    <w:rsid w:val="00802613"/>
    <w:rsid w:val="008202C5"/>
    <w:rsid w:val="008260D6"/>
    <w:rsid w:val="00827718"/>
    <w:rsid w:val="00855A0C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72F76"/>
    <w:rsid w:val="009733FB"/>
    <w:rsid w:val="009A3CBE"/>
    <w:rsid w:val="009A72C6"/>
    <w:rsid w:val="009B4514"/>
    <w:rsid w:val="009C6470"/>
    <w:rsid w:val="009F46AB"/>
    <w:rsid w:val="00A01318"/>
    <w:rsid w:val="00A10A0B"/>
    <w:rsid w:val="00A22E72"/>
    <w:rsid w:val="00A23F1B"/>
    <w:rsid w:val="00A27176"/>
    <w:rsid w:val="00A271B1"/>
    <w:rsid w:val="00A378D7"/>
    <w:rsid w:val="00A55DF8"/>
    <w:rsid w:val="00A75277"/>
    <w:rsid w:val="00A76C75"/>
    <w:rsid w:val="00A81AEE"/>
    <w:rsid w:val="00AA3682"/>
    <w:rsid w:val="00AA7F46"/>
    <w:rsid w:val="00AE41FA"/>
    <w:rsid w:val="00B325A6"/>
    <w:rsid w:val="00B4741B"/>
    <w:rsid w:val="00B66867"/>
    <w:rsid w:val="00B72779"/>
    <w:rsid w:val="00B75CF6"/>
    <w:rsid w:val="00B86679"/>
    <w:rsid w:val="00B929D5"/>
    <w:rsid w:val="00BA261F"/>
    <w:rsid w:val="00BC71CA"/>
    <w:rsid w:val="00BD74BE"/>
    <w:rsid w:val="00BE3FAA"/>
    <w:rsid w:val="00C20CF5"/>
    <w:rsid w:val="00C672F0"/>
    <w:rsid w:val="00C85F0E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5C6A"/>
    <w:rsid w:val="00D26480"/>
    <w:rsid w:val="00D30A83"/>
    <w:rsid w:val="00D4059A"/>
    <w:rsid w:val="00D43F7B"/>
    <w:rsid w:val="00D67FB9"/>
    <w:rsid w:val="00D9785A"/>
    <w:rsid w:val="00DB001A"/>
    <w:rsid w:val="00DC45A7"/>
    <w:rsid w:val="00DD44BB"/>
    <w:rsid w:val="00DE69A9"/>
    <w:rsid w:val="00DE6EA5"/>
    <w:rsid w:val="00DF020C"/>
    <w:rsid w:val="00E00968"/>
    <w:rsid w:val="00E04B9C"/>
    <w:rsid w:val="00E06932"/>
    <w:rsid w:val="00E44BEF"/>
    <w:rsid w:val="00E4595C"/>
    <w:rsid w:val="00E5214B"/>
    <w:rsid w:val="00E62BA1"/>
    <w:rsid w:val="00E643BF"/>
    <w:rsid w:val="00E647EA"/>
    <w:rsid w:val="00E651B6"/>
    <w:rsid w:val="00EB1351"/>
    <w:rsid w:val="00EB62B9"/>
    <w:rsid w:val="00EC631B"/>
    <w:rsid w:val="00ED4CF4"/>
    <w:rsid w:val="00F117D6"/>
    <w:rsid w:val="00F25B7E"/>
    <w:rsid w:val="00F277EC"/>
    <w:rsid w:val="00F3667D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qFormat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qFormat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qFormat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8D3-C8B9-4359-803B-F8EA2E4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obejmujący nieruchomość Gminy Olsztyn, z przeznaczeniem do sprzedaży w trybie bezprzetargowym</vt:lpstr>
    </vt:vector>
  </TitlesOfParts>
  <Company>Urząd Miasta Olsztyn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obejmujący nieruchomość Gminy Olsztyn, z przeznaczeniem do sprzedaży w trybie bezprzetargowym</dc:title>
  <dc:subject/>
  <dc:creator>annab</dc:creator>
  <cp:keywords/>
  <dc:description/>
  <cp:lastModifiedBy>Anna Ferszt</cp:lastModifiedBy>
  <cp:revision>34</cp:revision>
  <cp:lastPrinted>2026-03-06T12:02:00Z</cp:lastPrinted>
  <dcterms:created xsi:type="dcterms:W3CDTF">2026-02-25T12:31:00Z</dcterms:created>
  <dcterms:modified xsi:type="dcterms:W3CDTF">2026-03-12T08:46:00Z</dcterms:modified>
</cp:coreProperties>
</file>