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/>
      </w:pPr>
      <w:r>
        <w:rPr/>
        <w:t xml:space="preserve"> </w:t>
      </w:r>
    </w:p>
    <w:p>
      <w:pPr>
        <w:pStyle w:val="Standard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itle"/>
        <w:rPr>
          <w:rFonts w:ascii="Arial" w:hAnsi="Arial" w:cs="Arial"/>
          <w:sz w:val="24"/>
          <w:szCs w:val="28"/>
        </w:rPr>
      </w:pPr>
      <w:r>
        <w:rPr>
          <w:rFonts w:cs="Arial" w:ascii="Arial" w:hAnsi="Arial"/>
          <w:sz w:val="24"/>
          <w:szCs w:val="28"/>
        </w:rPr>
        <w:t>WYKAZ NIERUCHOMOŚCI PRZEZNACZONEJ DO SPRZEDAŻY W TRYBIE PRZETARGU USTNEGO OGRANICZONEGO</w:t>
      </w:r>
    </w:p>
    <w:p>
      <w:pPr>
        <w:pStyle w:val="Heading1"/>
        <w:numPr>
          <w:ilvl w:val="0"/>
          <w:numId w:val="1"/>
        </w:numPr>
        <w:ind w:hanging="0" w:left="0"/>
        <w:rPr>
          <w:rFonts w:ascii="Arial" w:hAnsi="Arial" w:cs="Arial"/>
          <w:b w:val="false"/>
          <w:sz w:val="22"/>
          <w:szCs w:val="24"/>
        </w:rPr>
      </w:pPr>
      <w:r>
        <w:rPr>
          <w:rFonts w:cs="Arial" w:ascii="Arial" w:hAnsi="Arial"/>
          <w:b w:val="false"/>
          <w:sz w:val="22"/>
          <w:szCs w:val="24"/>
        </w:rPr>
        <w:t xml:space="preserve">Na podstawie art. 35 ust. 1 i 2 ustawy z dnia 21 sierpnia 1997 r. o gospodarce nieruchomościami (Dz. U. z 2024 r. poz. 1145 ze zm.) podaję do publicznej wiadomości na okres 21 dni tj. od dnia </w:t>
      </w:r>
      <w:r>
        <w:rPr>
          <w:rFonts w:cs="Arial" w:ascii="Arial" w:hAnsi="Arial"/>
          <w:b w:val="false"/>
          <w:sz w:val="22"/>
          <w:szCs w:val="24"/>
        </w:rPr>
        <w:t>04 marca 2026 r.</w:t>
      </w:r>
      <w:r>
        <w:rPr>
          <w:rFonts w:cs="Arial" w:ascii="Arial" w:hAnsi="Arial"/>
          <w:b w:val="false"/>
          <w:sz w:val="22"/>
          <w:szCs w:val="24"/>
        </w:rPr>
        <w:t xml:space="preserve"> do dnia </w:t>
      </w:r>
      <w:r>
        <w:rPr>
          <w:rFonts w:cs="Arial" w:ascii="Arial" w:hAnsi="Arial"/>
          <w:b w:val="false"/>
          <w:sz w:val="22"/>
          <w:szCs w:val="24"/>
        </w:rPr>
        <w:t xml:space="preserve">25 marca 2026 r. </w:t>
      </w:r>
      <w:r>
        <w:rPr>
          <w:rFonts w:cs="Arial" w:ascii="Arial" w:hAnsi="Arial"/>
          <w:b w:val="false"/>
          <w:sz w:val="22"/>
          <w:szCs w:val="24"/>
        </w:rPr>
        <w:t xml:space="preserve"> wykaz obejmujący nieruchomość przeznaczoną do sprzedaży w trybie przetargu ustnego ograniczonego skierowanego do podmiotów zajmujących się wytwarzaniem lub dystrybucją energii elektrycznej:</w:t>
      </w:r>
    </w:p>
    <w:p>
      <w:pPr>
        <w:pStyle w:val="Standard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tbl>
      <w:tblPr>
        <w:tblStyle w:val="Tabela-Siatka"/>
        <w:tblW w:w="12953" w:type="dxa"/>
        <w:jc w:val="left"/>
        <w:tblInd w:w="3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0"/>
        <w:gridCol w:w="1570"/>
        <w:gridCol w:w="1500"/>
        <w:gridCol w:w="1720"/>
        <w:gridCol w:w="711"/>
        <w:gridCol w:w="1558"/>
        <w:gridCol w:w="1982"/>
        <w:gridCol w:w="1850"/>
        <w:gridCol w:w="1550"/>
      </w:tblGrid>
      <w:tr>
        <w:trPr>
          <w:tblHeader w:val="true"/>
        </w:trPr>
        <w:tc>
          <w:tcPr>
            <w:tcW w:w="510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0" w:left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pl-PL" w:bidi="ar-SA"/>
              </w:rPr>
              <w:t>Lp.</w:t>
            </w:r>
          </w:p>
        </w:tc>
        <w:tc>
          <w:tcPr>
            <w:tcW w:w="1570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0" w:left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pl-PL" w:bidi="ar-SA"/>
              </w:rPr>
              <w:t>Położenie nieruchomości</w:t>
            </w:r>
          </w:p>
        </w:tc>
        <w:tc>
          <w:tcPr>
            <w:tcW w:w="1500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0" w:left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pl-PL" w:bidi="ar-SA"/>
              </w:rPr>
              <w:t>Oznaczenie nieruchomości w ewidencji gruntów i budynków (obręb-nr działki)</w:t>
            </w:r>
          </w:p>
        </w:tc>
        <w:tc>
          <w:tcPr>
            <w:tcW w:w="1720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0" w:left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pl-PL" w:bidi="ar-SA"/>
              </w:rPr>
              <w:t>Oznaczenie nieruchomości według księgi wieczystej</w:t>
            </w:r>
          </w:p>
        </w:tc>
        <w:tc>
          <w:tcPr>
            <w:tcW w:w="711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0" w:left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pl-PL" w:bidi="ar-SA"/>
              </w:rPr>
              <w:t>Pow. (m</w:t>
            </w:r>
            <w:r>
              <w:rPr>
                <w:rFonts w:cs="Arial" w:ascii="Arial" w:hAnsi="Arial"/>
                <w:kern w:val="0"/>
                <w:sz w:val="18"/>
                <w:szCs w:val="20"/>
                <w:vertAlign w:val="superscript"/>
                <w:lang w:val="pl-PL" w:bidi="ar-SA"/>
              </w:rPr>
              <w:t>2</w:t>
            </w:r>
            <w:r>
              <w:rPr>
                <w:rFonts w:cs="Arial" w:ascii="Arial" w:hAnsi="Arial"/>
                <w:kern w:val="0"/>
                <w:sz w:val="18"/>
                <w:szCs w:val="20"/>
                <w:lang w:val="pl-PL" w:bidi="ar-SA"/>
              </w:rPr>
              <w:t>)</w:t>
            </w:r>
          </w:p>
        </w:tc>
        <w:tc>
          <w:tcPr>
            <w:tcW w:w="1558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0" w:left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pl-PL" w:bidi="ar-SA"/>
              </w:rPr>
              <w:t>Opis nieruchomości</w:t>
            </w:r>
          </w:p>
        </w:tc>
        <w:tc>
          <w:tcPr>
            <w:tcW w:w="1982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0" w:left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pl-PL" w:bidi="ar-SA"/>
              </w:rPr>
              <w:t>Przeznaczenie w miejscowym planie zagospodarowania przestrzennego</w:t>
            </w:r>
          </w:p>
        </w:tc>
        <w:tc>
          <w:tcPr>
            <w:tcW w:w="1850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uppressAutoHyphens w:val="true"/>
              <w:spacing w:lineRule="auto" w:line="276" w:before="0" w:after="0"/>
              <w:ind w:hanging="0" w:left="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cs="Arial" w:ascii="Arial" w:hAnsi="Arial"/>
                <w:kern w:val="0"/>
                <w:sz w:val="18"/>
                <w:szCs w:val="20"/>
                <w:lang w:val="pl-PL" w:bidi="ar-SA"/>
              </w:rPr>
              <w:t>Forma przekazania</w:t>
            </w:r>
          </w:p>
        </w:tc>
        <w:tc>
          <w:tcPr>
            <w:tcW w:w="1550" w:type="dxa"/>
            <w:tcBorders/>
          </w:tcPr>
          <w:p>
            <w:pPr>
              <w:pStyle w:val="Heading1"/>
              <w:numPr>
                <w:ilvl w:val="0"/>
                <w:numId w:val="1"/>
              </w:numPr>
              <w:suppressAutoHyphens w:val="true"/>
              <w:spacing w:before="0" w:after="0"/>
              <w:ind w:hanging="0" w:left="0"/>
              <w:jc w:val="left"/>
              <w:rPr>
                <w:kern w:val="0"/>
                <w:lang w:val="pl-PL" w:bidi="ar-SA"/>
              </w:rPr>
            </w:pPr>
            <w:r>
              <w:rPr>
                <w:rFonts w:cs="Arial" w:ascii="Arial" w:hAnsi="Arial"/>
                <w:kern w:val="0"/>
                <w:sz w:val="18"/>
                <w:szCs w:val="18"/>
                <w:lang w:val="pl-PL" w:bidi="ar-SA"/>
              </w:rPr>
              <w:t>C</w:t>
            </w:r>
            <w:r>
              <w:rPr>
                <w:rFonts w:cs="Arial" w:ascii="Arial" w:hAnsi="Arial"/>
                <w:kern w:val="0"/>
                <w:sz w:val="18"/>
                <w:szCs w:val="20"/>
                <w:lang w:val="pl-PL" w:bidi="ar-SA"/>
              </w:rPr>
              <w:t>ena nieruchomości</w:t>
            </w:r>
          </w:p>
        </w:tc>
      </w:tr>
      <w:tr>
        <w:trPr>
          <w:trHeight w:val="1572" w:hRule="atLeast"/>
        </w:trPr>
        <w:tc>
          <w:tcPr>
            <w:tcW w:w="510" w:type="dxa"/>
            <w:tcBorders/>
          </w:tcPr>
          <w:p>
            <w:pPr>
              <w:pStyle w:val="Standard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pl-PL" w:bidi="ar-SA"/>
              </w:rPr>
              <w:t>1.</w:t>
            </w:r>
          </w:p>
        </w:tc>
        <w:tc>
          <w:tcPr>
            <w:tcW w:w="1570" w:type="dxa"/>
            <w:tcBorders/>
          </w:tcPr>
          <w:p>
            <w:pPr>
              <w:pStyle w:val="Standard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pl-PL" w:bidi="ar-SA"/>
              </w:rPr>
              <w:t>ul. Poleskiego</w:t>
            </w:r>
          </w:p>
        </w:tc>
        <w:tc>
          <w:tcPr>
            <w:tcW w:w="1500" w:type="dxa"/>
            <w:tcBorders/>
          </w:tcPr>
          <w:p>
            <w:pPr>
              <w:pStyle w:val="Standard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pl-PL" w:bidi="ar-SA"/>
              </w:rPr>
              <w:t>136-18/10</w:t>
            </w:r>
          </w:p>
        </w:tc>
        <w:tc>
          <w:tcPr>
            <w:tcW w:w="1720" w:type="dxa"/>
            <w:tcBorders/>
          </w:tcPr>
          <w:p>
            <w:pPr>
              <w:pStyle w:val="Standard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pl-PL" w:bidi="ar-SA"/>
              </w:rPr>
              <w:t>OL1O/00207916/8</w:t>
            </w:r>
          </w:p>
        </w:tc>
        <w:tc>
          <w:tcPr>
            <w:tcW w:w="711" w:type="dxa"/>
            <w:tcBorders/>
          </w:tcPr>
          <w:p>
            <w:pPr>
              <w:pStyle w:val="Standard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pl-PL" w:bidi="ar-SA"/>
              </w:rPr>
              <w:t>20 m</w:t>
            </w:r>
            <w:r>
              <w:rPr>
                <w:rFonts w:eastAsia="Times New Roman" w:cs="Arial" w:ascii="Arial" w:hAnsi="Arial"/>
                <w:kern w:val="0"/>
                <w:sz w:val="18"/>
                <w:szCs w:val="18"/>
                <w:vertAlign w:val="superscript"/>
                <w:lang w:val="pl-PL" w:bidi="ar-SA"/>
              </w:rPr>
              <w:t>2</w:t>
            </w:r>
          </w:p>
        </w:tc>
        <w:tc>
          <w:tcPr>
            <w:tcW w:w="1558" w:type="dxa"/>
            <w:tcBorders/>
          </w:tcPr>
          <w:p>
            <w:pPr>
              <w:pStyle w:val="Standard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pl-PL" w:bidi="ar-SA"/>
              </w:rPr>
              <w:t>Nieruchomość niezabudowana</w:t>
            </w:r>
          </w:p>
        </w:tc>
        <w:tc>
          <w:tcPr>
            <w:tcW w:w="1982" w:type="dxa"/>
            <w:tcBorders/>
          </w:tcPr>
          <w:p>
            <w:pPr>
              <w:pStyle w:val="Standard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pl-PL" w:bidi="ar-SA"/>
              </w:rPr>
              <w:t>1O- przeznaczenie podstawowe: gospodarka odpadami, zakład unieszkodliwiania odpadów, przeznaczenie dopuszczalne: przemysł, produkcja, składy, magazyny</w:t>
            </w:r>
          </w:p>
        </w:tc>
        <w:tc>
          <w:tcPr>
            <w:tcW w:w="1850" w:type="dxa"/>
            <w:tcBorders/>
          </w:tcPr>
          <w:p>
            <w:pPr>
              <w:pStyle w:val="Standard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pl-PL" w:bidi="ar-SA"/>
              </w:rPr>
              <w:t>Sprzedaż nieruchomości w trybie przetargu ustnego ograniczonego skierowanego do podmiotów zajmujących się wytwarzaniem lub dystrybucją energii elektrycznej</w:t>
            </w:r>
          </w:p>
        </w:tc>
        <w:tc>
          <w:tcPr>
            <w:tcW w:w="1550" w:type="dxa"/>
            <w:tcBorders/>
          </w:tcPr>
          <w:p>
            <w:pPr>
              <w:pStyle w:val="Standard"/>
              <w:suppressAutoHyphens w:val="true"/>
              <w:spacing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pl-PL" w:bidi="ar-SA"/>
              </w:rPr>
              <w:t>10 000,00 zł</w:t>
            </w:r>
          </w:p>
        </w:tc>
      </w:tr>
    </w:tbl>
    <w:p>
      <w:pPr>
        <w:pStyle w:val="Standard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Heading2"/>
        <w:numPr>
          <w:ilvl w:val="1"/>
          <w:numId w:val="1"/>
        </w:numPr>
        <w:spacing w:before="0" w:after="120"/>
        <w:ind w:hanging="9" w:left="0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Uwaga! Osoby, którym przysługuje pierwszeństwo w nabyciu nieruchomości na podstawie art. 34 ust. 1 pkt. 1 i 2 ustawy z dnia 21 sierpnia 1997 r. o gospodarce nieruchomościami (t.j. Dz. U. z 2024 r. poz. 1145 ze zm.) winny złożyć wnioski w terminie 6 tygodni od daty podania wykazu do publicznej wiadomości.</w:t>
      </w:r>
    </w:p>
    <w:p>
      <w:pPr>
        <w:pStyle w:val="Heading2"/>
        <w:numPr>
          <w:ilvl w:val="1"/>
          <w:numId w:val="1"/>
        </w:numPr>
        <w:spacing w:before="0" w:after="120"/>
        <w:ind w:hanging="9" w:left="0"/>
        <w:rPr>
          <w:rFonts w:ascii="Arial" w:hAnsi="Arial" w:cs="Arial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Sprzedaż działki 18/10, obręb 136, opodatkowana zostanie podatkiem VAT w stawce 23%.</w:t>
      </w:r>
    </w:p>
    <w:p>
      <w:pPr>
        <w:pStyle w:val="Heading2"/>
        <w:numPr>
          <w:ilvl w:val="1"/>
          <w:numId w:val="1"/>
        </w:numPr>
        <w:spacing w:before="0" w:after="120"/>
        <w:ind w:hanging="9" w:left="0"/>
        <w:rPr>
          <w:rFonts w:ascii="Arial" w:hAnsi="Arial" w:cs="Arial"/>
          <w:b w:val="false"/>
          <w:sz w:val="22"/>
          <w:szCs w:val="22"/>
          <w:u w:val="single"/>
        </w:rPr>
      </w:pPr>
      <w:r>
        <w:rPr>
          <w:rFonts w:cs="Arial" w:ascii="Arial" w:hAnsi="Arial"/>
          <w:b w:val="false"/>
          <w:sz w:val="22"/>
          <w:szCs w:val="22"/>
        </w:rPr>
        <w:t xml:space="preserve">Wykaz znajduje się w Biuletynie Informacji Publicznej, prowadzonym przez Urząd Miasta Olsztyna, pod adresem </w:t>
      </w:r>
      <w:hyperlink r:id="rId2">
        <w:r>
          <w:rPr>
            <w:rStyle w:val="Hyperlink"/>
            <w:rFonts w:cs="Arial" w:ascii="Arial" w:hAnsi="Arial"/>
            <w:b w:val="false"/>
            <w:sz w:val="22"/>
            <w:szCs w:val="22"/>
          </w:rPr>
          <w:t>bip.olsztyn.eu</w:t>
        </w:r>
      </w:hyperlink>
      <w:r>
        <w:rPr/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i na elektronicznej tablicy ogłoszeń ETO. </w:t>
      </w:r>
    </w:p>
    <w:p>
      <w:pPr>
        <w:pStyle w:val="Standard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Standard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  <w:t>Informacja:</w:t>
      </w:r>
    </w:p>
    <w:p>
      <w:pPr>
        <w:pStyle w:val="Standard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  <w:t>tel. 89 50 60 336</w:t>
      </w:r>
    </w:p>
    <w:p>
      <w:pPr>
        <w:pStyle w:val="Standard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  <w:t>Urząd Miasta, pok. 112</w:t>
      </w:r>
    </w:p>
    <w:p>
      <w:pPr>
        <w:pStyle w:val="Standard"/>
        <w:rPr>
          <w:rFonts w:ascii="Arial" w:hAnsi="Arial" w:cs="Arial"/>
          <w:i/>
          <w:i/>
          <w:iCs/>
          <w:sz w:val="18"/>
          <w:szCs w:val="18"/>
        </w:rPr>
      </w:pPr>
      <w:r>
        <w:rPr>
          <w:rFonts w:cs="Arial" w:ascii="Arial" w:hAnsi="Arial"/>
          <w:i/>
          <w:iCs/>
          <w:sz w:val="18"/>
          <w:szCs w:val="18"/>
        </w:rPr>
      </w:r>
    </w:p>
    <w:p>
      <w:pPr>
        <w:pStyle w:val="Standard"/>
        <w:spacing w:lineRule="atLeast" w:line="240" w:before="0" w:after="120"/>
        <w:rPr>
          <w:rFonts w:ascii="Arial" w:hAnsi="Arial" w:cs="Arial"/>
        </w:rPr>
      </w:pPr>
      <w:r>
        <w:rPr>
          <w:rFonts w:cs="Arial" w:ascii="Arial" w:hAnsi="Arial"/>
          <w:sz w:val="18"/>
          <w:szCs w:val="18"/>
        </w:rPr>
        <w:t xml:space="preserve"> </w:t>
      </w:r>
    </w:p>
    <w:sectPr>
      <w:type w:val="nextPage"/>
      <w:pgSz w:orient="landscape" w:w="16838" w:h="11906"/>
      <w:pgMar w:left="1418" w:right="1418" w:gutter="0" w:header="0" w:top="426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tarBats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isplayBackgroundShape/>
  <w:embedSystemFonts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paragraph" w:styleId="Heading1">
    <w:name w:val="Heading 1"/>
    <w:basedOn w:val="Nagwek2"/>
    <w:next w:val="BodyText"/>
    <w:qFormat/>
    <w:pPr>
      <w:numPr>
        <w:ilvl w:val="0"/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Nagwek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Nagwek2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Domylnaczcionkaakapitu2" w:customStyle="1">
    <w:name w:val="Domyślna czcionka akapitu2"/>
    <w:qFormat/>
    <w:rPr/>
  </w:style>
  <w:style w:type="character" w:styleId="Domylnaczcionkaakapitu1" w:customStyle="1">
    <w:name w:val="Domyślna czcionka akapitu1"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Domylnaczcionkaakapitu3" w:customStyle="1">
    <w:name w:val="Domyślna czcionka akapitu3"/>
    <w:qFormat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styleId="WW-Absatz-Standardschriftart1111111111111111111111111111111" w:customStyle="1">
    <w:name w:val="WW-Absatz-Standardschriftart1111111111111111111111111111111"/>
    <w:qFormat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styleId="WW-Absatz-Standardschriftart11111111111111111111111111111111" w:customStyle="1">
    <w:name w:val="WW-Absatz-Standardschriftart11111111111111111111111111111111"/>
    <w:qFormat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styleId="WW-Absatz-Standardschriftart111111111111111111111111111111111" w:customStyle="1">
    <w:name w:val="WW-Absatz-Standardschriftart111111111111111111111111111111111"/>
    <w:qFormat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styleId="WW-Domylnaczcionkaakapitu" w:customStyle="1">
    <w:name w:val="WW-Domy?lna czcionka akapitu"/>
    <w:qFormat/>
    <w:rPr>
      <w:rFonts w:ascii="Times New Roman" w:hAnsi="Times New Roman" w:eastAsia="Times New Roman" w:cs="Times New Roman"/>
      <w:color w:val="auto"/>
      <w:sz w:val="24"/>
      <w:szCs w:val="24"/>
      <w:lang w:val="pl-PL"/>
    </w:rPr>
  </w:style>
  <w:style w:type="character" w:styleId="Symbolwypunktowania" w:customStyle="1">
    <w:name w:val="Symbol wypunktowania"/>
    <w:qFormat/>
    <w:rPr>
      <w:rFonts w:ascii="StarBats" w:hAnsi="StarBats" w:eastAsia="StarBats" w:cs="StarBats"/>
      <w:color w:val="auto"/>
      <w:sz w:val="18"/>
      <w:szCs w:val="18"/>
      <w:lang w:val="pl-PL"/>
    </w:rPr>
  </w:style>
  <w:style w:type="character" w:styleId="WW-Symbolwypunktowania" w:customStyle="1">
    <w:name w:val="WW-Symbol wypunktowania"/>
    <w:qFormat/>
    <w:rPr>
      <w:rFonts w:ascii="StarBats" w:hAnsi="StarBats" w:eastAsia="StarBats" w:cs="StarBats"/>
      <w:color w:val="auto"/>
      <w:sz w:val="18"/>
      <w:szCs w:val="18"/>
      <w:lang w:val="pl-PL"/>
    </w:rPr>
  </w:style>
  <w:style w:type="character" w:styleId="WW-Symbolwypunktowania1" w:customStyle="1">
    <w:name w:val="WW-Symbol wypunktowania1"/>
    <w:qFormat/>
    <w:rPr>
      <w:rFonts w:ascii="StarBats" w:hAnsi="StarBats" w:eastAsia="StarBats" w:cs="StarBats"/>
      <w:color w:val="auto"/>
      <w:sz w:val="18"/>
      <w:szCs w:val="18"/>
      <w:lang w:val="pl-PL"/>
    </w:rPr>
  </w:style>
  <w:style w:type="character" w:styleId="WW-Symbolwypunktowania11" w:customStyle="1">
    <w:name w:val="WW-Symbol wypunktowania11"/>
    <w:qFormat/>
    <w:rPr>
      <w:rFonts w:ascii="StarBats" w:hAnsi="StarBats" w:eastAsia="StarBats" w:cs="StarBats"/>
      <w:color w:val="auto"/>
      <w:sz w:val="18"/>
      <w:szCs w:val="18"/>
      <w:lang w:val="pl-PL"/>
    </w:rPr>
  </w:style>
  <w:style w:type="character" w:styleId="Symbolewypunktowania" w:customStyle="1">
    <w:name w:val="Symbole wypunktowania"/>
    <w:qFormat/>
    <w:rPr>
      <w:rFonts w:ascii="OpenSymbol" w:hAnsi="OpenSymbol" w:eastAsia="OpenSymbol" w:cs="OpenSymbol"/>
    </w:rPr>
  </w:style>
  <w:style w:type="character" w:styleId="displayonly" w:customStyle="1">
    <w:name w:val="display_only"/>
    <w:basedOn w:val="Domylnaczcionkaakapitu1"/>
    <w:qFormat/>
    <w:rPr/>
  </w:style>
  <w:style w:type="character" w:styleId="item-fieldvalue" w:customStyle="1">
    <w:name w:val="item-fieldvalue"/>
    <w:qFormat/>
    <w:rsid w:val="000d7b62"/>
    <w:rPr/>
  </w:style>
  <w:style w:type="character" w:styleId="TekstdymkaZnak" w:customStyle="1">
    <w:name w:val="Tekst dymka Znak"/>
    <w:link w:val="BalloonText"/>
    <w:qFormat/>
    <w:rsid w:val="00ff7263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basedOn w:val="DefaultParagraphFont"/>
    <w:rsid w:val="00c20cf5"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rsid w:val="00c20cf5"/>
    <w:rPr>
      <w:color w:themeColor="followedHyperlink" w:val="954F72"/>
      <w:u w:val="single"/>
    </w:rPr>
  </w:style>
  <w:style w:type="character" w:styleId="StandardZnak" w:customStyle="1">
    <w:name w:val="Standard Znak"/>
    <w:basedOn w:val="DefaultParagraphFont"/>
    <w:link w:val="Standard"/>
    <w:qFormat/>
    <w:rsid w:val="00e643bf"/>
    <w:rPr>
      <w:lang w:eastAsia="zh-CN"/>
    </w:rPr>
  </w:style>
  <w:style w:type="character" w:styleId="WykaztytuZnak" w:customStyle="1">
    <w:name w:val="Wykaz_tytuł Znak"/>
    <w:basedOn w:val="StandardZnak"/>
    <w:link w:val="Wykaztytu"/>
    <w:qFormat/>
    <w:rsid w:val="00e643bf"/>
    <w:rPr>
      <w:rFonts w:ascii="Arial" w:hAnsi="Arial" w:cs="Arial"/>
      <w:b/>
      <w:bCs/>
      <w:sz w:val="28"/>
      <w:szCs w:val="28"/>
      <w:lang w:eastAsia="zh-CN"/>
    </w:rPr>
  </w:style>
  <w:style w:type="character" w:styleId="TytuZnak" w:customStyle="1">
    <w:name w:val="Tytuł Znak"/>
    <w:basedOn w:val="DefaultParagraphFont"/>
    <w:qFormat/>
    <w:rsid w:val="00e643bf"/>
    <w:rPr>
      <w:rFonts w:ascii="Calibri Light" w:hAnsi="Calibri Light" w:eastAsia="" w:cs="" w:asciiTheme="majorHAnsi" w:cstheme="majorBidi" w:eastAsiaTheme="majorEastAsia" w:hAnsiTheme="majorHAnsi"/>
      <w:b/>
      <w:bCs/>
      <w:kern w:val="2"/>
      <w:sz w:val="32"/>
      <w:szCs w:val="32"/>
      <w:lang w:eastAsia="zh-CN"/>
    </w:rPr>
  </w:style>
  <w:style w:type="character" w:styleId="annotationreference">
    <w:name w:val="annotation reference"/>
    <w:basedOn w:val="DefaultParagraphFont"/>
    <w:qFormat/>
    <w:rsid w:val="00977e61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qFormat/>
    <w:rsid w:val="00977e61"/>
    <w:rPr>
      <w:lang w:eastAsia="zh-CN"/>
    </w:rPr>
  </w:style>
  <w:style w:type="character" w:styleId="TematkomentarzaZnak" w:customStyle="1">
    <w:name w:val="Temat komentarza Znak"/>
    <w:basedOn w:val="TekstkomentarzaZnak"/>
    <w:link w:val="annotationsubject"/>
    <w:qFormat/>
    <w:rsid w:val="00977e61"/>
    <w:rPr>
      <w:b/>
      <w:bCs/>
      <w:lang w:eastAsia="zh-C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Normal"/>
    <w:qFormat/>
    <w:pPr/>
    <w:rPr/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pPr>
      <w:suppressLineNumbers/>
      <w:tabs>
        <w:tab w:val="clear" w:pos="708"/>
        <w:tab w:val="center" w:pos="7001" w:leader="none"/>
        <w:tab w:val="right" w:pos="14002" w:leader="none"/>
      </w:tabs>
    </w:pPr>
    <w:rPr/>
  </w:style>
  <w:style w:type="paragraph" w:styleId="Nagwek3" w:customStyle="1">
    <w:name w:val="Nagłówek3"/>
    <w:basedOn w:val="Nagwek2"/>
    <w:next w:val="BodyText"/>
    <w:qFormat/>
    <w:pPr>
      <w:jc w:val="center"/>
    </w:pPr>
    <w:rPr>
      <w:b/>
      <w:bCs/>
      <w:sz w:val="56"/>
      <w:szCs w:val="56"/>
    </w:rPr>
  </w:style>
  <w:style w:type="paragraph" w:styleId="Nagwek2" w:customStyle="1">
    <w:name w:val="Nagłówek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egenda1" w:customStyle="1">
    <w:name w:val="Legend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Nagwek4" w:customStyle="1">
    <w:name w:val="Nagłówek4"/>
    <w:basedOn w:val="Normal"/>
    <w:next w:val="BodyText"/>
    <w:qFormat/>
    <w:pPr>
      <w:keepNext w:val="tru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Legenda2" w:customStyle="1">
    <w:name w:val="Legenda2"/>
    <w:basedOn w:val="Normal"/>
    <w:qFormat/>
    <w:pPr>
      <w:spacing w:before="120" w:after="120"/>
    </w:pPr>
    <w:rPr>
      <w:i/>
      <w:iCs/>
    </w:rPr>
  </w:style>
  <w:style w:type="paragraph" w:styleId="WW-header" w:customStyle="1">
    <w:name w:val="WW-header"/>
    <w:basedOn w:val="Normal"/>
    <w:next w:val="BodyText"/>
    <w:qFormat/>
    <w:pPr>
      <w:keepNext w:val="tru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WW-caption" w:customStyle="1">
    <w:name w:val="WW-caption"/>
    <w:basedOn w:val="Normal"/>
    <w:qFormat/>
    <w:pPr>
      <w:spacing w:before="120" w:after="120"/>
    </w:pPr>
    <w:rPr>
      <w:i/>
      <w:iCs/>
    </w:rPr>
  </w:style>
  <w:style w:type="paragraph" w:styleId="WW-Index" w:customStyle="1">
    <w:name w:val="WW-Index"/>
    <w:basedOn w:val="Normal"/>
    <w:qFormat/>
    <w:pPr/>
    <w:rPr/>
  </w:style>
  <w:style w:type="paragraph" w:styleId="WW-header1" w:customStyle="1">
    <w:name w:val="WW-header1"/>
    <w:basedOn w:val="Normal"/>
    <w:next w:val="BodyText"/>
    <w:qFormat/>
    <w:pPr>
      <w:keepNext w:val="tru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WW-caption1" w:customStyle="1">
    <w:name w:val="WW-caption1"/>
    <w:basedOn w:val="Normal"/>
    <w:qFormat/>
    <w:pPr>
      <w:spacing w:before="120" w:after="120"/>
    </w:pPr>
    <w:rPr>
      <w:i/>
      <w:iCs/>
    </w:rPr>
  </w:style>
  <w:style w:type="paragraph" w:styleId="WW-Index1" w:customStyle="1">
    <w:name w:val="WW-Index1"/>
    <w:basedOn w:val="Normal"/>
    <w:qFormat/>
    <w:pPr/>
    <w:rPr/>
  </w:style>
  <w:style w:type="paragraph" w:styleId="Standard" w:customStyle="1">
    <w:name w:val="Standard"/>
    <w:link w:val="StandardZnak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zh-CN" w:bidi="ar-SA"/>
    </w:rPr>
  </w:style>
  <w:style w:type="paragraph" w:styleId="Obszartekstu" w:customStyle="1">
    <w:name w:val="Obszar tekstu"/>
    <w:basedOn w:val="Standard"/>
    <w:qFormat/>
    <w:pPr/>
    <w:rPr>
      <w:sz w:val="24"/>
      <w:szCs w:val="24"/>
    </w:rPr>
  </w:style>
  <w:style w:type="paragraph" w:styleId="Zawartotabeli" w:customStyle="1">
    <w:name w:val="Zawarto?? tabeli"/>
    <w:basedOn w:val="Obszartekstu"/>
    <w:qFormat/>
    <w:pPr/>
    <w:rPr/>
  </w:style>
  <w:style w:type="paragraph" w:styleId="Tytutabeli" w:customStyle="1">
    <w:name w:val="Tytu? tabeli"/>
    <w:basedOn w:val="Zawartotabeli"/>
    <w:qFormat/>
    <w:pPr>
      <w:jc w:val="center"/>
    </w:pPr>
    <w:rPr>
      <w:b/>
      <w:bCs/>
      <w:i/>
      <w:iCs/>
    </w:rPr>
  </w:style>
  <w:style w:type="paragraph" w:styleId="Zawartotabeli1" w:customStyle="1">
    <w:name w:val="Zawartość tabeli"/>
    <w:basedOn w:val="Normal"/>
    <w:qFormat/>
    <w:pPr>
      <w:suppressLineNumbers/>
    </w:pPr>
    <w:rPr/>
  </w:style>
  <w:style w:type="paragraph" w:styleId="Tytutabeli1" w:customStyle="1">
    <w:name w:val="Tytuł tabeli"/>
    <w:basedOn w:val="Zawartotabeli1"/>
    <w:qFormat/>
    <w:pPr>
      <w:jc w:val="center"/>
    </w:pPr>
    <w:rPr>
      <w:b/>
      <w:bCs/>
      <w:i/>
      <w:iCs/>
    </w:rPr>
  </w:style>
  <w:style w:type="paragraph" w:styleId="WW-TableContents" w:customStyle="1">
    <w:name w:val="WW-Table Contents"/>
    <w:basedOn w:val="Normal"/>
    <w:qFormat/>
    <w:pPr/>
    <w:rPr/>
  </w:style>
  <w:style w:type="paragraph" w:styleId="Nagwektabeli" w:customStyle="1">
    <w:name w:val="Nagłówek tabeli"/>
    <w:basedOn w:val="Zawartotabeli1"/>
    <w:qFormat/>
    <w:pPr>
      <w:jc w:val="center"/>
    </w:pPr>
    <w:rPr>
      <w:b/>
      <w:bCs/>
    </w:rPr>
  </w:style>
  <w:style w:type="paragraph" w:styleId="WW-TableHeading" w:customStyle="1">
    <w:name w:val="WW-Table Heading"/>
    <w:basedOn w:val="Zawartotabeli1"/>
    <w:qFormat/>
    <w:pPr>
      <w:jc w:val="center"/>
    </w:pPr>
    <w:rPr>
      <w:b/>
      <w:bCs/>
    </w:rPr>
  </w:style>
  <w:style w:type="paragraph" w:styleId="WW-TableContents1" w:customStyle="1">
    <w:name w:val="WW-Table Contents1"/>
    <w:basedOn w:val="Normal"/>
    <w:qFormat/>
    <w:pPr/>
    <w:rPr/>
  </w:style>
  <w:style w:type="paragraph" w:styleId="WW-TableHeading1" w:customStyle="1">
    <w:name w:val="WW-Table Heading1"/>
    <w:basedOn w:val="WW-TableContents1"/>
    <w:qFormat/>
    <w:pPr>
      <w:jc w:val="center"/>
    </w:pPr>
    <w:rPr>
      <w:b/>
      <w:bCs/>
    </w:rPr>
  </w:style>
  <w:style w:type="paragraph" w:styleId="Cytaty" w:customStyle="1">
    <w:name w:val="Cytaty"/>
    <w:basedOn w:val="Normal"/>
    <w:qFormat/>
    <w:pPr>
      <w:spacing w:before="0" w:after="283"/>
      <w:ind w:left="567" w:right="567"/>
    </w:pPr>
    <w:rPr/>
  </w:style>
  <w:style w:type="paragraph" w:styleId="Subtitle">
    <w:name w:val="Subtitle"/>
    <w:basedOn w:val="Nagwek2"/>
    <w:next w:val="BodyText"/>
    <w:qFormat/>
    <w:pPr>
      <w:spacing w:before="60" w:after="120"/>
      <w:jc w:val="center"/>
    </w:pPr>
    <w:rPr>
      <w:sz w:val="36"/>
      <w:szCs w:val="36"/>
    </w:rPr>
  </w:style>
  <w:style w:type="paragraph" w:styleId="Footer">
    <w:name w:val="Footer"/>
    <w:basedOn w:val="Normal"/>
    <w:pPr>
      <w:suppressLineNumbers/>
      <w:tabs>
        <w:tab w:val="clear" w:pos="708"/>
        <w:tab w:val="center" w:pos="7001" w:leader="none"/>
        <w:tab w:val="right" w:pos="14002" w:leader="none"/>
      </w:tabs>
    </w:pPr>
    <w:rPr/>
  </w:style>
  <w:style w:type="paragraph" w:styleId="BalloonText">
    <w:name w:val="Balloon Text"/>
    <w:basedOn w:val="Normal"/>
    <w:link w:val="TekstdymkaZnak"/>
    <w:qFormat/>
    <w:rsid w:val="00ff7263"/>
    <w:pPr/>
    <w:rPr>
      <w:rFonts w:ascii="Segoe UI" w:hAnsi="Segoe UI" w:cs="Segoe UI"/>
      <w:sz w:val="18"/>
      <w:szCs w:val="18"/>
    </w:rPr>
  </w:style>
  <w:style w:type="paragraph" w:styleId="Wykaztytu" w:customStyle="1">
    <w:name w:val="Wykaz_tytuł"/>
    <w:basedOn w:val="Standard"/>
    <w:link w:val="WykaztytuZnak"/>
    <w:qFormat/>
    <w:rsid w:val="00e643bf"/>
    <w:pPr>
      <w:jc w:val="center"/>
    </w:pPr>
    <w:rPr>
      <w:rFonts w:ascii="Arial" w:hAnsi="Arial" w:cs="Arial"/>
      <w:b/>
      <w:bCs/>
      <w:sz w:val="28"/>
      <w:szCs w:val="28"/>
    </w:rPr>
  </w:style>
  <w:style w:type="paragraph" w:styleId="Title">
    <w:name w:val="Title"/>
    <w:basedOn w:val="Normal"/>
    <w:next w:val="Normal"/>
    <w:link w:val="TytuZnak"/>
    <w:qFormat/>
    <w:rsid w:val="00e643bf"/>
    <w:pPr>
      <w:spacing w:before="240" w:after="60"/>
      <w:jc w:val="center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AnnotationText">
    <w:name w:val="Annotation Text"/>
    <w:basedOn w:val="Normal"/>
    <w:link w:val="TekstkomentarzaZnak"/>
    <w:rsid w:val="00977e61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qFormat/>
    <w:rsid w:val="00977e61"/>
    <w:pPr/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117d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p.olsztyn.e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CBFCA-E179-4A0D-A807-A6B2A1E4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LibreOffice/24.2.7.2$Windows_X86_64 LibreOffice_project/ee3885777aa7032db5a9b65deec9457448a91162</Application>
  <AppVersion>15.0000</AppVersion>
  <Pages>1</Pages>
  <Words>270</Words>
  <Characters>1620</Characters>
  <CharactersWithSpaces>1887</CharactersWithSpaces>
  <Paragraphs>3</Paragraphs>
  <Company>Urząd Miasta Olsztyn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2026-02-12T11:39:00Z</dcterms:created>
  <dc:creator>Anna Ferszt</dc:creator>
  <dc:description/>
  <dc:language>pl-PL</dc:language>
  <cp:lastModifiedBy/>
  <cp:lastPrinted>2026-03-02T08:39:13Z</cp:lastPrinted>
  <dcterms:modified xsi:type="dcterms:W3CDTF">2026-03-04T12:04:58Z</dcterms:modified>
  <cp:revision>14</cp:revision>
  <dc:subject/>
  <dc:title>Wykaz nieruchomości Gminy Olsztyn przenaczonych na sprzedaż  w trybie przetargu ograniczonego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