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left="-426"/>
        <w:rPr>
          <w:rStyle w:val="displayonly"/>
          <w:rFonts w:eastAsia="" w:eastAsiaTheme="majorEastAsia"/>
          <w:sz w:val="22"/>
          <w:szCs w:val="22"/>
        </w:rPr>
      </w:pPr>
      <w:r>
        <w:rPr>
          <w:rStyle w:val="displayonly"/>
          <w:rFonts w:eastAsia="" w:eastAsiaTheme="majorEastAsia"/>
          <w:sz w:val="22"/>
          <w:szCs w:val="22"/>
        </w:rPr>
        <w:t>Znak sprawy: GGN.IV.6840.1.88.2024.A</w:t>
        <w:tab/>
        <w:tab/>
        <w:tab/>
        <w:tab/>
        <w:tab/>
        <w:tab/>
        <w:tab/>
        <w:tab/>
        <w:tab/>
        <w:tab/>
        <w:tab/>
        <w:t xml:space="preserve"> Olsztyn, dnia 21.01.2026 r.</w:t>
      </w:r>
    </w:p>
    <w:p>
      <w:pPr>
        <w:pStyle w:val="Standard"/>
        <w:ind w:left="-426"/>
        <w:rPr>
          <w:rStyle w:val="displayonly"/>
          <w:rFonts w:eastAsia="" w:eastAsiaTheme="majorEastAsia"/>
          <w:sz w:val="22"/>
          <w:szCs w:val="22"/>
        </w:rPr>
      </w:pPr>
      <w:r>
        <w:rPr>
          <w:rStyle w:val="displayonly"/>
          <w:rFonts w:eastAsia="" w:eastAsiaTheme="majorEastAsia"/>
          <w:sz w:val="22"/>
          <w:szCs w:val="22"/>
        </w:rPr>
        <w:t xml:space="preserve">Nr dokumentu:1174.01.2026 </w:t>
      </w:r>
    </w:p>
    <w:p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WYKAZ</w:t>
      </w:r>
    </w:p>
    <w:p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35 ust. 1 i 2 ustawy z dnia 21 sierpnia 1997 r. o gospodarce nieruchomościami (t.j. Dz. U. z 2024 r. poz. 1145 ze zm.) </w:t>
      </w:r>
      <w:r>
        <w:rPr>
          <w:b/>
          <w:bCs/>
          <w:sz w:val="22"/>
          <w:szCs w:val="22"/>
        </w:rPr>
        <w:t xml:space="preserve">podaję </w:t>
      </w:r>
      <w:r>
        <w:rPr>
          <w:sz w:val="22"/>
          <w:szCs w:val="22"/>
        </w:rPr>
        <w:t xml:space="preserve">do publicznej wiadomości na okres </w:t>
      </w:r>
      <w:r>
        <w:rPr>
          <w:b/>
          <w:bCs/>
          <w:sz w:val="22"/>
          <w:szCs w:val="22"/>
        </w:rPr>
        <w:t>21 dni</w:t>
      </w:r>
      <w:r>
        <w:rPr>
          <w:sz w:val="22"/>
          <w:szCs w:val="22"/>
        </w:rPr>
        <w:t xml:space="preserve"> tj. od dnia 21 stycznia 2026 r. do dnia 11 lutego 2026 r. wykaz obejmujący nieruchomość Gminy Olsztyn przeznaczoną do sprzedaży w trybie bezprzetargowym na rzecz użytkownika wieczystego.</w:t>
      </w:r>
    </w:p>
    <w:p>
      <w:pPr>
        <w:pStyle w:val="Normal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318" w:type="dxa"/>
        <w:jc w:val="left"/>
        <w:tblInd w:w="-39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538"/>
        <w:gridCol w:w="1419"/>
        <w:gridCol w:w="1304"/>
        <w:gridCol w:w="1813"/>
        <w:gridCol w:w="1164"/>
        <w:gridCol w:w="1389"/>
        <w:gridCol w:w="2693"/>
        <w:gridCol w:w="1983"/>
        <w:gridCol w:w="2013"/>
      </w:tblGrid>
      <w:tr>
        <w:trPr>
          <w:trHeight w:val="862" w:hRule="atLeast"/>
          <w:cantSplit w:val="true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Położenie </w:t>
            </w:r>
          </w:p>
          <w:p>
            <w:pPr>
              <w:pStyle w:val="Standard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nieruchomości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  <w:p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Oznaczenie </w:t>
            </w:r>
          </w:p>
          <w:p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nieruchomości</w:t>
            </w:r>
          </w:p>
          <w:p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ewidencji gruntów </w:t>
            </w:r>
          </w:p>
        </w:tc>
        <w:tc>
          <w:tcPr>
            <w:tcW w:w="1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Oznaczenie nieruchomości</w:t>
            </w:r>
            <w:r>
              <w:rPr>
                <w:sz w:val="22"/>
                <w:szCs w:val="22"/>
                <w:vertAlign w:val="superscript"/>
              </w:rPr>
              <w:t xml:space="preserve">  </w:t>
            </w:r>
            <w:r>
              <w:rPr>
                <w:sz w:val="22"/>
                <w:szCs w:val="22"/>
              </w:rPr>
              <w:t xml:space="preserve">według </w:t>
            </w:r>
          </w:p>
          <w:p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księgi wieczystej</w:t>
            </w:r>
          </w:p>
        </w:tc>
        <w:tc>
          <w:tcPr>
            <w:tcW w:w="11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Pow. </w:t>
            </w:r>
          </w:p>
          <w:p>
            <w:pPr>
              <w:pStyle w:val="Standard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w ha</w:t>
            </w:r>
          </w:p>
        </w:tc>
        <w:tc>
          <w:tcPr>
            <w:tcW w:w="13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</w:t>
            </w:r>
          </w:p>
          <w:p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nieruchomości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Przeznaczenie </w:t>
            </w:r>
          </w:p>
          <w:p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nieruchomości </w:t>
            </w:r>
          </w:p>
          <w:p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sposób jej zagospodarowania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przekazania</w:t>
            </w:r>
          </w:p>
        </w:tc>
        <w:tc>
          <w:tcPr>
            <w:tcW w:w="20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sprzedaży</w:t>
            </w:r>
          </w:p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nieruchomości </w:t>
            </w:r>
          </w:p>
          <w:p>
            <w:pPr>
              <w:pStyle w:val="Standard"/>
              <w:snapToGrid w:val="false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snapToGrid w:val="false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41" w:hRule="atLeast"/>
          <w:cantSplit w:val="true"/>
        </w:trPr>
        <w:tc>
          <w:tcPr>
            <w:tcW w:w="5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11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138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Przeznaczenie w mpzp</w:t>
            </w:r>
          </w:p>
        </w:tc>
        <w:tc>
          <w:tcPr>
            <w:tcW w:w="19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ul. Rataja 15d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działka nr 43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obręb nr 24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813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  <w:p>
            <w:pPr>
              <w:pStyle w:val="Standard"/>
              <w:snapToGrid w:val="false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Style w:val="item-fieldvalue"/>
                <w:rFonts w:eastAsia="" w:eastAsiaTheme="majorEastAsia"/>
                <w:sz w:val="22"/>
                <w:szCs w:val="22"/>
              </w:rPr>
              <w:t>OL1O/00019300/2</w:t>
            </w:r>
          </w:p>
        </w:tc>
        <w:tc>
          <w:tcPr>
            <w:tcW w:w="116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Standard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</w:r>
          </w:p>
          <w:p>
            <w:pPr>
              <w:pStyle w:val="Standard"/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0,1025</w:t>
            </w:r>
          </w:p>
          <w:p>
            <w:pPr>
              <w:pStyle w:val="Normal"/>
              <w:rPr>
                <w:bCs/>
                <w:sz w:val="22"/>
                <w:szCs w:val="22"/>
                <w:highlight w:val="yellow"/>
                <w:vertAlign w:val="superscript"/>
              </w:rPr>
            </w:pPr>
            <w:r>
              <w:rPr>
                <w:bCs/>
                <w:sz w:val="22"/>
                <w:szCs w:val="22"/>
                <w:highlight w:val="yellow"/>
                <w:vertAlign w:val="superscript"/>
              </w:rPr>
            </w:r>
          </w:p>
        </w:tc>
        <w:tc>
          <w:tcPr>
            <w:tcW w:w="138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  <w:vertAlign w:val="superscript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nieruchomość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zabudowana</w:t>
              <w:br/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Standard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sprzedaż na rzecz użytkownika wieczystego     w trybie art. 198g ustawy        z dnia 21 sierpnia 1997 r. </w:t>
              <w:br/>
              <w:t xml:space="preserve">o gospodarce nieruchomościami </w:t>
              <w:br/>
              <w:t>(t.j. Dz. U. z 2024 r. poz. 1145 ze zm.)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Standard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Standard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sprzedaż gruntu                     w trybie bezprzetargowym</w:t>
            </w:r>
          </w:p>
        </w:tc>
        <w:tc>
          <w:tcPr>
            <w:tcW w:w="20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ListParagraph"/>
              <w:spacing w:lineRule="auto" w:line="254"/>
              <w:rPr/>
            </w:pPr>
            <w:r>
              <w:rPr/>
            </w:r>
          </w:p>
          <w:p>
            <w:pPr>
              <w:pStyle w:val="Normal"/>
              <w:spacing w:lineRule="auto" w:line="2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370 125,00 zł</w:t>
            </w:r>
          </w:p>
        </w:tc>
      </w:tr>
      <w:tr>
        <w:trPr>
          <w:trHeight w:val="173" w:hRule="atLeast"/>
          <w:cantSplit w:val="true"/>
        </w:trPr>
        <w:tc>
          <w:tcPr>
            <w:tcW w:w="538" w:type="dxa"/>
            <w:vMerge w:val="continue"/>
            <w:tcBorders>
              <w:lef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vMerge w:val="continue"/>
            <w:tcBorders>
              <w:lef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4" w:type="dxa"/>
            <w:vMerge w:val="continue"/>
            <w:tcBorders>
              <w:lef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13" w:type="dxa"/>
            <w:vMerge w:val="continue"/>
            <w:tcBorders>
              <w:lef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4" w:type="dxa"/>
            <w:vMerge w:val="continue"/>
            <w:tcBorders>
              <w:lef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9" w:type="dxa"/>
            <w:vMerge w:val="continue"/>
            <w:tcBorders>
              <w:left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cBorders>
              <w:left w:val="single" w:sz="2" w:space="0" w:color="000000"/>
            </w:tcBorders>
          </w:tcPr>
          <w:p>
            <w:pPr>
              <w:pStyle w:val="Standard"/>
              <w:jc w:val="center"/>
              <w:rPr>
                <w:rStyle w:val="item-fieldvalue"/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sz w:val="22"/>
                <w:szCs w:val="22"/>
              </w:rPr>
            </w:r>
          </w:p>
          <w:p>
            <w:pPr>
              <w:pStyle w:val="Standard"/>
              <w:jc w:val="center"/>
              <w:rPr>
                <w:rStyle w:val="item-fieldvalue"/>
                <w:rFonts w:eastAsia="" w:eastAsiaTheme="majorEastAsia"/>
                <w:sz w:val="22"/>
                <w:szCs w:val="22"/>
                <w:highlight w:val="yellow"/>
              </w:rPr>
            </w:pPr>
            <w:r>
              <w:rPr>
                <w:rStyle w:val="item-fieldvalue"/>
                <w:rFonts w:eastAsia="" w:eastAsiaTheme="majorEastAsia"/>
                <w:sz w:val="22"/>
                <w:szCs w:val="22"/>
              </w:rPr>
              <w:t>brak planu</w:t>
            </w:r>
          </w:p>
        </w:tc>
        <w:tc>
          <w:tcPr>
            <w:tcW w:w="1983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13" w:type="dxa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Obszartekstu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4" w:hRule="atLeast"/>
          <w:cantSplit w:val="true"/>
        </w:trPr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Style w:val="item-fieldvalue"/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sz w:val="22"/>
                <w:szCs w:val="22"/>
              </w:rPr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zartekstu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left="-426"/>
        <w:rPr>
          <w:sz w:val="22"/>
          <w:szCs w:val="22"/>
        </w:rPr>
      </w:pPr>
      <w:r>
        <w:rPr>
          <w:sz w:val="22"/>
          <w:szCs w:val="22"/>
        </w:rPr>
        <w:t>Art. 35 ust. 2 pkt 7, 8, 9, 10 ww. ustawy – nie dotyczy.</w:t>
        <w:br/>
      </w:r>
      <w:r>
        <w:rPr>
          <w:b/>
          <w:sz w:val="22"/>
          <w:szCs w:val="22"/>
        </w:rPr>
        <w:t>Uwaga!</w:t>
      </w:r>
      <w:r>
        <w:rPr>
          <w:sz w:val="22"/>
          <w:szCs w:val="22"/>
        </w:rPr>
        <w:t xml:space="preserve"> Osoby, którym przysługuje pierwszeństwo w nabyciu nieruchomości na podstawie art. 34 ust. 1 pkt 1 i 2 ustawy z dnia 21 sierpnia 1997 r. o gospodarce nieruchomościami (t.j. Dz. U z 2024 r. poz. 1145 ze zm.) winny złożyć wnioski w terminie 6 tygodni, licząc od dnia wywieszenia wykazu. </w:t>
      </w:r>
    </w:p>
    <w:p>
      <w:pPr>
        <w:pStyle w:val="Normal"/>
        <w:ind w:left="-426"/>
        <w:rPr>
          <w:sz w:val="22"/>
          <w:szCs w:val="22"/>
        </w:rPr>
      </w:pPr>
      <w:r>
        <w:rPr>
          <w:sz w:val="22"/>
          <w:szCs w:val="22"/>
        </w:rPr>
        <w:t>Sprzedaż nieruchomości nie podlega opodatkowaniu podatkiem VAT.</w:t>
      </w:r>
    </w:p>
    <w:p>
      <w:pPr>
        <w:pStyle w:val="Normal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oraz informacja o jego wywieszeniu znajduje się w Biuletynie Informacji Publicznej, prowadzonym przez Urząd Miasta Olsztyna pod adresem </w:t>
      </w:r>
      <w:r>
        <w:rPr>
          <w:sz w:val="22"/>
          <w:szCs w:val="22"/>
          <w:u w:val="single"/>
        </w:rPr>
        <w:t>bip.olsztyn.eu</w:t>
      </w:r>
      <w:r>
        <w:rPr>
          <w:sz w:val="22"/>
          <w:szCs w:val="22"/>
        </w:rPr>
        <w:t xml:space="preserve">  oraz na elektronicznej tablicy ogłoszeń (ETO).</w:t>
      </w:r>
    </w:p>
    <w:p>
      <w:pPr>
        <w:pStyle w:val="Standard"/>
        <w:spacing w:lineRule="auto" w:line="48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1418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536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8a0f44"/>
    <w:pPr>
      <w:keepNext w:val="true"/>
      <w:keepLines/>
      <w:widowControl/>
      <w:suppressAutoHyphens w:val="false"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8a0f44"/>
    <w:pPr>
      <w:keepNext w:val="true"/>
      <w:keepLines/>
      <w:widowControl/>
      <w:suppressAutoHyphens w:val="false"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8a0f44"/>
    <w:pPr>
      <w:keepNext w:val="true"/>
      <w:keepLines/>
      <w:widowControl/>
      <w:suppressAutoHyphens w:val="false"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8a0f44"/>
    <w:pPr>
      <w:keepNext w:val="true"/>
      <w:keepLines/>
      <w:widowControl/>
      <w:suppressAutoHyphens w:val="false"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8a0f44"/>
    <w:pPr>
      <w:keepNext w:val="true"/>
      <w:keepLines/>
      <w:widowControl/>
      <w:suppressAutoHyphens w:val="false"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8a0f44"/>
    <w:pPr>
      <w:keepNext w:val="true"/>
      <w:keepLines/>
      <w:widowControl/>
      <w:suppressAutoHyphens w:val="false"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8a0f44"/>
    <w:pPr>
      <w:keepNext w:val="true"/>
      <w:keepLines/>
      <w:widowControl/>
      <w:suppressAutoHyphens w:val="false"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8a0f44"/>
    <w:pPr>
      <w:keepNext w:val="true"/>
      <w:keepLines/>
      <w:widowControl/>
      <w:suppressAutoHyphens w:val="false"/>
      <w:spacing w:lineRule="auto" w:line="259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8a0f44"/>
    <w:pPr>
      <w:keepNext w:val="true"/>
      <w:keepLines/>
      <w:widowControl/>
      <w:suppressAutoHyphens w:val="false"/>
      <w:spacing w:lineRule="auto" w:line="259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8a0f4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8a0f4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8a0f44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8a0f44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8a0f44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8a0f44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8a0f44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8a0f44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8a0f44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8a0f4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8a0f4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8a0f4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a0f44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8a0f4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a0f44"/>
    <w:rPr>
      <w:b/>
      <w:bCs/>
      <w:smallCaps/>
      <w:color w:themeColor="accent1" w:themeShade="bf" w:val="2F5496"/>
      <w:spacing w:val="5"/>
    </w:rPr>
  </w:style>
  <w:style w:type="character" w:styleId="displayonly" w:customStyle="1">
    <w:name w:val="display_only"/>
    <w:basedOn w:val="DefaultParagraphFont"/>
    <w:qFormat/>
    <w:rsid w:val="00695360"/>
    <w:rPr/>
  </w:style>
  <w:style w:type="character" w:styleId="item-fieldvalue" w:customStyle="1">
    <w:name w:val="item-fieldvalue"/>
    <w:basedOn w:val="DefaultParagraphFont"/>
    <w:qFormat/>
    <w:rsid w:val="0069536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8a0f44"/>
    <w:pPr>
      <w:widowControl/>
      <w:suppressAutoHyphens w:val="false"/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8a0f44"/>
    <w:pPr>
      <w:widowControl/>
      <w:suppressAutoHyphens w:val="false"/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8a0f44"/>
    <w:pPr>
      <w:widowControl/>
      <w:suppressAutoHyphens w:val="false"/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8a0f44"/>
    <w:pPr>
      <w:widowControl/>
      <w:suppressAutoHyphens w:val="false"/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8a0f4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false"/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sz w:val="22"/>
      <w:szCs w:val="22"/>
      <w:lang w:eastAsia="en-US"/>
      <w14:ligatures w14:val="standardContextual"/>
    </w:rPr>
  </w:style>
  <w:style w:type="paragraph" w:styleId="Standard" w:customStyle="1">
    <w:name w:val="Standard"/>
    <w:qFormat/>
    <w:rsid w:val="0069536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pl-PL" w:bidi="ar-SA"/>
      <w14:ligatures w14:val="none"/>
    </w:rPr>
  </w:style>
  <w:style w:type="paragraph" w:styleId="Obszartekstu" w:customStyle="1">
    <w:name w:val="Obszar tekstu"/>
    <w:basedOn w:val="Standard"/>
    <w:qFormat/>
    <w:rsid w:val="00695360"/>
    <w:pPr/>
    <w:rPr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LibreOffice/24.2.7.2$Windows_X86_64 LibreOffice_project/ee3885777aa7032db5a9b65deec9457448a91162</Application>
  <AppVersion>15.0000</AppVersion>
  <Pages>1</Pages>
  <Words>258</Words>
  <Characters>1552</Characters>
  <CharactersWithSpaces>1807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2026-01-12T10:52:00Z</dcterms:created>
  <dc:creator>Maria Żurawska</dc:creator>
  <dc:description/>
  <dc:language>pl-PL</dc:language>
  <cp:lastModifiedBy/>
  <dcterms:modified xsi:type="dcterms:W3CDTF">2026-01-21T10:34:28Z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