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91"/>
      </w:tblGrid>
      <w:tr w:rsidR="0035674B" w:rsidRPr="0035674B" w:rsidTr="0035674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450" w:type="dxa"/>
              <w:left w:w="15" w:type="dxa"/>
              <w:bottom w:w="450" w:type="dxa"/>
              <w:right w:w="15" w:type="dxa"/>
            </w:tcMar>
            <w:hideMark/>
          </w:tcPr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450" w:type="dxa"/>
              <w:left w:w="15" w:type="dxa"/>
              <w:bottom w:w="450" w:type="dxa"/>
              <w:right w:w="15" w:type="dxa"/>
            </w:tcMar>
            <w:vAlign w:val="center"/>
            <w:hideMark/>
          </w:tcPr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Kierownik Jednostki Samorządu Terytorialnego (dalej JST)  - w rozumieniu art. 33 ust. 3 Ustawy o samorządzie gminnym  </w:t>
            </w: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Dz. U. z 2024 r.  poz. 1465, 1572.)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Aby zachować pełną jawność i transparentność - wnosimy o opublikowanie - niniejszej petycji w BIP - podstawę prawną, z której wynika obligatoryjność wzmiankowanej  - podajemy in fine niniejszego pisma.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Komparycja Petycji: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Dane nadawcy (Osoba Prawna)  - znajdują się poniżej oraz - w załączonym pliku sygnowanym podpisem elektronicznym, weryfikowanym kwalifikowanym certyfikatem - stosownie do dyspozycji Ustawy z dnia 5 września 2016 r. o usługach zaufania oraz identyfikacji elektronicznej </w:t>
            </w: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Dz. U. z 2019 r. poz. 162, 1590) 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- Data dostarczenia - zgodna z dyspozycją art. 61 pkt. 2 Ustawy Kodeks Cywilny </w:t>
            </w: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Dz. U. z 2024 r. poz. 1061, 1237)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niniejszym piśmie znajduje się kilka sekcji, które w mniemaniu autora podlegają różnym trybom ustawowym, a co za tym idzie powinny być dekretowane oddzielnie w zależności od aktu prawnego na który powołuje się autor pisma w danej sekcji.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Wg. piśmiennictwa i judykatury nie jest to łączenie trybów ale korzystanie z różnych środków prawnych. 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Na urzędnikach ciąży obowiązek dokonania odrębnych dekretacji  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- najlepiej w postaci elektronicznej -   vide -  J. Borkowski (w:) B. Adamiak, J. Borkowski, Kodeks postępowania…, s. 668; por. także art. 12 ust. 1 komentowanej ustawy - dostępne w sieci Internet.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Naszą idee fixe jest poniższy akapit: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"Wszyscy mamy obowiązek patrzenia Decydentom na ręce - Wydają nasze podatki ! Składajmy Wnioski/Petycje i Skargi i zachęcajmy wszystkich  do składania takich Wniosków.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W trybie art. 241 KPA - zmniejszajmy koszty publiczne i usprawniajmy Administrację Publiczną”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Preambuła: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Z informacji uzyskanych przez Autora - spośród wielu kontroli NIK w innych Gminach - w obszarze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 - ani jedna kontrola nie zakończyła się opinią pozytywną/ambiwalentną - a contrario - wszystkie kontrole w Gminach zakończyły się opinią negatywną.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Oczywiście wszyscy Wójtowie/Burmistrzowie - uważają, że „ich gmina jest wyjątkowa” - i często dopiero nasze wnioski/skargi i petycje - odsłaniają stan faktyczny.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Niemal zawsze - po wykonaniu rekonesansu - okazuje się, że sytuacja w danej gminie jest nawet gorsza, niż pisze o tym NIK w swoich protokołach pokontrolnych i podobna jak w przypadku Gmin, które uległy cyberatakom o czym codziennie donoszą media relacjonując kolejne udane włamania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hakerskie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do Urzędów i przytaczając słowa kolejnych zdziwionych Wójtów/Burmistrzów i Prezydentów -  sic!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Dochodzi to tego, że - pomimo wydatkowania olbrzymich środków podatników w obszarze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, w Gminach permanentnie mają miejsce takie przypadki  ad absurdum - jak w Gminie Rząśnia - gdzie już dwukrotnie !!!! - sic! -  wysłano przelewy na konto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cyberoszustów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vide: 1)  https://tvn24.pl/lodz/rzasnia-gmina-stracila-5-mln-zlotych-jest-prokuratorskie-sledzwo-st5091169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2) https://twojepajeczno.pl/wiadomosci/powiat/gmina-oszukana-na-5-milionow-zlotych/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Za pierwszym razem pół miliona złotych - wg. doniesień prasowych i odpowiedzi na nasze wnioski: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najpierw - „(…) Cyberprzestępcy zlecili  w systemie bankowości elektronicznej dwa duże przelewy i wyprowadzili w ten sposób 500 tysięcy złotych(…)”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Następnie -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póżniej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za kadencji tego samego Wójta wysłano - 5 milionów złotych.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 informacji udzielonych przez Prokuraturę w Wieluniu „(…) Skarbnik Urzędu Gminy w Rząśni (…) przelał na konto oszustów zawrotną kwotę 5 milionów złotych.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Notabene skarbnik został odsunięty przez Wójta od pełnionej funkcji (…)” ... podatnikowi pieniędzy nikt nie zwróci…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Per Analogiam, a nawet gorzej w Gminie Konstancin-Jeziorna  - oraz jak wynika z udzielanych na odpowiedzi na nasze wnioski - w setkach innych Gmin.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Wzmiankowany kazus Konstancina - opisany jest przez publikacje prasowe, do jednej z nich zamieszczamy link: -  vide:   „Z kasy gminy zniknęło 5 mln” pieniędzy Podatników Konstancin-Jeziorna. Prokuratura zajęła mieszkanie burmistrza. Wcześniej z miejskiej kasy zniknęło 5 milionów złotych </w:t>
            </w:r>
            <w:hyperlink r:id="rId5" w:history="1">
              <w:r w:rsidRPr="003567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https://tvn24.pl/tvnwarszawa/najnowsze/konstancin-jeziorna-prokuratura-zajela-mieszkanie-burmistrza-wczesniej-z-miejskiej-kasy-zniknelo-5-milionow-zlotych-st6552624</w:t>
              </w:r>
            </w:hyperlink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Zaistniały katastrofalny stan faktyczny wynikający z doniesień medialnych i uzyskiwanych przez nas odpowiedzi na nasze wnioski - potwierdzają również wszystkie kontrole NIK w Urzędach Gmin.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Badając w empirii stan faktyczny NIK pisze w protokołach pokontrolnych: „ 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(…) Wieloletnie zaniedbania dotyczące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, nieświadomość i brak skutecznych procedur reagowania na zagrożenia, a także wykorzystywanie oprogramowania, które miało krytyczne luki – to główne nieprawidłowości wykryte w urzędach gmin (…) . W konsekwencji samorządy te nie były w stanie zapewnić skutecznej ochrony przed potencjalnymi atakami cyberprzestępców.(…) 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„ vide Nr ewidencyjny: NIK I/23/001/LSZ  - w całości z katastrofalnymi  i druzgocącymi dla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Decydenetów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w Gminach wnioskami pokontrolnymi można zapoznać się w protokołach publikowanych na www.nik.gov.pl  (data publikacji kwiecień 2024  - scilicet już po wydatkowaniu miliardów złotych w ramach programu „Cyfrowa Gmina”)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W mniemaniu Autora  - Ministerstwo Cyfryzacji dokłada wszelkich starań i wyjątkowo profesjonalnie dba o dofinansowanie Gmin w obszarze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 uruchamiając kolejne programy wspierające gminy.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lastRenderedPageBreak/>
              <w:t>Z kolei Gminy nie wydatkują przyznanych środków racjonalnie, wręcz przeciwnie - co wynika - expressis verbis -  z odpowiedzi udzielnych nam od lat w trybie ustawy o dostępie do informacji publicznej -  vide www.szulc-euphenics.com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naszym mniemaniu środki Podatników w ramach programu „Cyfrowa Gmina” oraz „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Cyberbezpieczny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Samorząd” nie są wydatkowane w Gminach racjonalnie i oszczędnie - wręcz a contrario - olbrzymie środki są marnotrawione - ze względu na zmowy cenowe oraz mentalność jaką prezentuje gros Decydentów w Gminach.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Dziwi nas, że rzeczonymi kwestiami nie zainteresowali się jeszcze Radni Gmin - choć informacje publikowane na naszych stronach www.szulc-euphenics.com - powodują, że uzyskujemy coraz to więcej sygnałów o kolejnych - sytuacjach ad absurdum w Urzędach.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Do Gmin i jednostek administracji publicznej dostarczamy od 25 lat wnioski o udostępnienie informacji publicznej i staraliśmy się składać również wnioski optymalizacyjne i sanacyjne w trybie art. 241KPA*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*Art. 241 KPA* :  “Przedmiotem wniosku mogą być w szczególności sprawy ulepszenia organizacji, wzmocnienia praworządności, usprawnienia pracy i zapobiegania nadużyciom, ochrony własności, lepszego zaspokajania potrzeb ludności.”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Osnowa Petycji: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W mniemaniu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Petycjodawcy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: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- naprawa skandalicznego stanu faktycznego opisanego w cytowanych protokołach NIK - </w:t>
            </w:r>
            <w:r w:rsidRPr="0035674B">
              <w:rPr>
                <w:rFonts w:ascii="ArialMT" w:eastAsia="Times New Roman" w:hAnsi="ArialMT" w:cs="Arial"/>
                <w:b/>
                <w:bCs/>
                <w:sz w:val="24"/>
                <w:szCs w:val="24"/>
                <w:lang w:eastAsia="pl-PL"/>
              </w:rPr>
              <w:t>należy - bez żadnej wątpliwości - do wartości wymagających szczególnej ochrony w imię dobra wspólnego, mieszczących się w zakresie zadań i kompetencji adresata petycji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ponadto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- oszczędność w wydatkowaniu środków podatników i  przeciwdziałanie nieuczciwym praktykom firm - polegającym na zmowie cenowej i zawyżaniu cen usług w ramach środków pochodzących z programów Cyfrowa Gmina i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Cyberbepieczny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 Samorząd -    należy - bez żadnej wątpliwości - do wartości wymagających szczególnej ochrony w imię dobra wspólnego, mieszczących się w zakresie zadań i kompetencji adresata petycji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Zatem w trybie Ustawy o petycjach (Dz.U.2018.870 tj. z dnia 2018.05.10)  w związku z powołanym w argumentacji art. 241 KPA: </w:t>
            </w:r>
            <w:r w:rsidRPr="0035674B">
              <w:rPr>
                <w:rFonts w:ascii="ArialMT" w:eastAsia="Times New Roman" w:hAnsi="ArialMT" w:cs="Arial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b/>
                <w:bCs/>
                <w:sz w:val="24"/>
                <w:szCs w:val="24"/>
                <w:lang w:eastAsia="pl-PL"/>
              </w:rPr>
              <w:t>§1) Wnosimy o usprawnienie procedur </w:t>
            </w: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związanych z zamówieniami publicznymi w kontekście sygnalizowanych przez NIK mankamentów w obszarze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cyberbepieczeństwa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 bazując na konkretnych przykładach opisanych przez nas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defraudacj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/marnotrawienia i środków publicznych.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Przypominamy, że w naszych wnioskach/petycjach i skargach podajemy konkretne przykłady w których Decydenci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pomino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 wydatkowania zawyżonych środków publicznych  (zmowa cenowa) uzyskanych z MSWIA (wyżej wzmiankowane programy) nie zwiększyli poziomu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 (nie dostosowali stanu faktycznego do normy PN </w:t>
            </w: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lastRenderedPageBreak/>
              <w:t xml:space="preserve">27001 - co w każdym protokole pokontrolnym sygnalizuje NIK) i nie opracowali podstawowych procedur związanych z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cyberbezpeiczeństem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 (powołane kazusy).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§2) 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trybie Ustawy o petycjach (Dz.U.2018.870 tj. z dnia 2018.05.10) 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 wnosimy o przeprowadzenie analizy  zastosowania art 275 §2 Ustawy Prawo zamówień Publicznych pod kątem zastosowania dyspozycji tego przepisu tak aby przeciwdziałać opisanym przez NIK i przez wnioskodawcę - deliktom prawnym, których efektem jest - w mniemaniu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petycjodawcy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 - defraudacja i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marnotrastwo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 środków publicznych i stan faktyczny opisany w powyżej zacytowanym protokole NIK.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§3) W trybie Ustawy o petycjach (Dz.U.2018.870 tj. z dnia 2018.05.10) wnosimy o  przyporządkowanie do klasy z wykazu akt załączonego schematu umowy.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Wg.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petycjodawcy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analiza dokumentów i raportów, o jakich piszemy w rzeczonej umowie  może być skutecznym przyczynkiem do waliki z wyżej wskazanymi nieuczciwymi praktykami.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Wnosimy o archiwizację załącznika - 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w trybie 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§6 ust. 2  załącznika nr 1 do Rozporządzenia Prezesa Rady Ministrów z dnia 18 stycznia 2011 r. w sprawie instrukcji kancelaryjnej, jednolitych rzeczowych wykazów akt oraz instrukcji w sprawie organizacji i zakresu działania archiwów zakładowych (Dz. U. z dnia 20 stycznia 2011 r.).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Uzasadnienie petycji: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Poniżej Komentarz fakultatywny  wzmacniający argumentację - powtórzenia najbardziej rażących stwierdzeń dodane kilkukrotnie - dokonano w pełni świadomie aby expressis verbis uwypuklić stan faktyczny: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Autor pisma  jako Osoba Prawna -   jest podmiotem prawa handlowego - prowadzi działalność gospodarczą oraz zażądał wykonania czynności (udzielenia odpowiedzi w trybie ustawy o dostępie do informacji publicznej)   ze względu na uzasadniony interes publiczny pro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publico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bono oraz własny  interes prawny - podobnie jak czyni to większość podmiotów  w relacjach z każdym Organem (Urzędem)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 odróżnieniu jednak od większości innych podmiotów - zwracających się do Urzędu (Organu) i chcących zaspokoić - jedynie swój własny partykularny interes (Osób chcących jedynie załatwić swoją sprawę) - Autor - poza swoim partykularnym interesem związanym z prowadzeniem działalności gospodarczej oraz poddawaniem się zasadom uczciwej konkurencji - realizuje również uzasadniony interes społeczny  pro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publico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bono - w ramach zawodowego charakteru działalności i know-how kompletowanego w ciągu 25 lat pracy dla Jednostek Administracji Publicznej - vide: www.szulc-euphenics.com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Notabene -  autor pisma opłaca wielokrotnie większe podatki niż statystyczny podmiot praw w RP - i pomimo tego nie chce być traktowany z większą percepcją jedynie tylko -   jak każdy inny podmiot (osoba prawna lub fizyczna) w relacjach z urzędem.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lastRenderedPageBreak/>
              <w:t>Pozwalamy sobie zauważyć, że każdy podmiot - powinien być traktowany nie tylko zgodnie z przepisami prawa ale również etycznie - na zasadzie równości podmiotów i zgodnie z zasadami uczciwej konkurencji.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Staje się to istotne - szczególnie w kontekście opisanego poniżej art 241 KPA - który jest idee fixe naszej działalności oraz zasad uczciwej konkurencji w ramach wydatkowania środków publicznych.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mniemaniu Autora/Wnioskodawcy*  - Ustawodawca - dedykował do tego celu art 241 Ustawy KPA*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Art. 241 KPA* :  “Przedmiotem wniosku mogą być w szczególności sprawy ulepszenia organizacji, wzmocnienia praworządności, usprawnienia pracy i zapobiegania nadużyciom, ochrony własności, lepszego zaspokajania potrzeb ludności.”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Widząc pewne deliktowe mechanizmy w Jednostkach Administracji Publicznej wnioskodawca składa wnioski o udostępnienie informacji publicznej - dodatkowo poddając stan faktyczny analizie i sanacji w związku z art 241 KPA - licząc że Organy będą wdrażać procedury sanacyjne optymalizacyjne - zgodnie z zasadami uczciwej konkurencji w ramach obowiązku wydatkowania środków Podatników przez Urzędników - w sposób niezwykle oszczędny i racjonalny.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Wszak de facto Urzędnicy nie wydatkują własnych środków ale ciężko zapracowane -  środki Podatników.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W mniemaniu Autora  - Ministerstwo Cyfryzacji dokłada wszelkich starań i wyjątkowo profesjonalnie dba o dofinansowanie Gmin w obszarze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 uruchamiając kolejne programy wspierające gminy.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 kolei Gminy nie wydatkują przyznanych środków racjonalnie, wręcz przeciwnie - co wynika - expressis verbis -  z odpowiedzi udzielnych nam od lat w trybie ustawy o dostępie do informacji publicznej -  vide www.szulc-euphenics.com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naszym mniemaniu środki Podatników w ramach programu „Cyfrowa Gmina” oraz „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Cyberbezpieczny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Samorząd” nie są wydatkowane w Gminach racjonalnie i oszczędnie - wręcz a contrario - olbrzymie środki są marnotrawione - ze względu na zmowy cenowe oraz mentalność jaką prezentuje gros Decydentów w Gminach.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Urzędnicy w Gminach - w dużym uproszczeniu - wychodzą często z założenia: „…skoro otrzymaliśmy środki z Ministerstwa i niemalże ’spadły nam z nieba' - to trzeba je szybko wydać …”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Co więcej nie dość, że ceny usług są zawyżane - i ma to w mniemaniu Autora/Wnioskodawcy - w JST wręcz powszechny charakter korupcjogenny - to dodatkowo jeszcze zakupywane w ramach zawyżonych cen -  usługi nie są zgodne ze stanem prawnym.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Rzeczoną  niezgodność usług w tym obszarze expressis verbis sygnalizuje we wszystkich kontrolach Najwyższa Izba Kontroli.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szczególności NIK w ramach prawie wszystkich kontroli piętnuje niezgodność usług z obowiązującą normą PN 27001.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lastRenderedPageBreak/>
              <w:t xml:space="preserve">Jak wynika z odpowiedzi uzyskiwanych w trybie ustawy o dostępie do informacji publicznej - zmowa cenowa ma miejsce w wielu obszarach, ale w obszarze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- par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exellence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- w najbardziej rażącej i bezczelnej postaci.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Przed złożeniem niniejszego pisma*  Wnioskodawca dokonał analizy deliktów prawnych związanych ze zmową cenową w Jednostkach Administracji Publicznej  o podobnym mechanizmie i w ramach zaistniałych okoliczności - per analogiam: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1)  https://samorzad.pap.pl/kategoria/prawo/winny-korupcji-bprezydent-tarnowa-skazany-na-3-lata-za-korupcje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2) https://www.radiokrakow.pl/aktualnosci/tarnow/po-pieciu-latach-procesu-zapadl-ostatni-wyrok-ws-zmowy-przetargowej-przy-budowie-lacznika-a4-w-tarnowie/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Podobna zmowa cenowa - w mniemaniu Autora  - istnieje w obszarze usług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cyberbepieczeństwa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Mamy nadzieję, że w jakimś minimalnym stopniu przyczyniliśmy się do wyrycia i zdemaskowania -  tych korupcjogennych mechanizmów (zmowy cenowej), gdyż permanentnie składaliśmy zapytania w trybie ustawy o dostępie do informacji publicznej w Mieście Tarnów (tak jak i w innych gminach) już od wieli lat i udostępnialiśmy niepokojące odpowiedzi do wiadomości publicznej - in fine: (poniżej jedna z takich niepokojących odpowiedzi)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Ponownie sygnalizujemy, że mamy wrażenie iż w obszarze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cyberbepieczeństwa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istnieje zmowa cenowa -  o charakterze bardzo zbliżonym.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 naszym mniemaniu potwierdzają to również protokoły Najwyższej Izby Kontroli - ad exemplum: Nr ewidencyjny: I/23/001/LSZ vide: https://www.nik.gov.pl/najnowsze-informacje-o-wynikach-kontroli/zachodniopomorskie-gminy-cyberzagrozenia.html oraz dyspozycji Ustawy z dnia 5 lipca 2018 r. o krajowym systemie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. Dz. U. z 2024 r. poz. 1077, 1222) , Rozporządzenia Rady Ministrów z dnia 21 maja 2024 r. w sprawie Krajowych Ram Interoperacyjności, minimalnych wymagań dla rejestrów publicznych i wymiany informacji w postaci elektronicznej oraz minimalnych wymagań dla systemów teleinformatycznych (Dz. U. z 22 maja 2024 r.) oraz prawa UE, a także odnośnych Polskich Norm w tym PN 27001.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Podsumowanie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Podkreślamy ponownie z naciskiem, że w ostatnim czasie w Gminach -  z pieniędzy Podatników zostały wydatkowane olbrzymie kwoty związane z obszarem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cyberbezpieczeństwa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Planowane jest wydatkowanie w najbliższych 2 latach - w gminach (JST) -  z pieniędzy Podatników kolejnych ok. 2 mld złotych  -  w ramach tzw. programu „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Cyberbezpieczny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Samorząd”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Tym samym urzędnicy w Gminach - dyskredytują i niszczą ciężką pracę wykonaną przez Ministerstwo Cyfryzacji - przepłacając za złej jakości zawyżone cenowo usługi w pseudo firmach - co stwarza obraz korupcjogenny i gwałcący wszelkie zasady uczciwej konkurencji.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lastRenderedPageBreak/>
              <w:t xml:space="preserve">To ogólnie znana i tolerowana w Urzędach Gmin - Tajemnica poliszynela - i byłoby to groteskowe i niewarte percepcji - gdyby nie to, że płacą za to Podatnicy - uderza to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rownież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w Podmioty żmudnie prowadzące uczciwą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dzialalność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gospodarczą.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 odpowiedzi udzielonych nam w trybie ustawy o dostępie do informacji publicznej, a szczególnie w rozmowach telefonicznych - sami Decydenci permanentnie przyznają, że po wejściu w życie programów typu „Cyfrowa Gmina” oraz „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Cyberbepieczny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Samorząd” ceny usług na rynku „ad hoc magicznie wzrosły” od 100% do 300 % (patrz mechanizmy powołane w obszarze usług budowlanych w przypadku Miasta Tarnowa) 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 uzyskiwanych przez nas odpowiedzi wynika, że czasami nawet wzrosły powyżej 300% - sic !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Wszyscy w gminach wiedzą i przyznają, że status quo został zachwiany, a tworzone quasi audyty i raporty to często dokumenty, w których na setkach pozbawionych wartościowego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kontentu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stronach (rzekomych audytach i quasi raportach) - zmianie ulegają jedynie nazwy/nomenklatury Gmin/Jednostek Administracji Publicznej.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Potwierdzają to wszyscy  urzędnicy w rozmowach telefonicznych  - sic! -  ceny wzrosły o kilkaset procent.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Dodatkowo - po wydatkowaniu miliardów środków publicznych w obszarze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cyberbepieczeństwa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- wszystkie kontrole NIK - potwierdzają katastrofalny stan zastany w Urzędach Gmin przez Kontrolerów.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Z tego powodu młodzi ludzie i społeczeństwo - w prywatnych rozmowach - nazywa często  pejoratywnie Urzędników Imbecylami i "Urzędasami popijającymi kawę" - notabene w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mniemaniu Autora pisma niesłusznie i krzywdząco dla większości urzędników.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Wszystko w kontekście przepisów dot. sanacji związanej z  wydatkowaniem środków podatników, ulepszeniem  organizacji, wzmocnieniem praworządności, usprawnieniem pracy i zapobiegania nadużyciom, ochrony własności, lepszego zaspokajania potrzeb ludności. - którą każdy podmiot ma prawo i obowiązek  - prowadzić -  w ramach zasad uczciwej konkurencji i równego traktowania - bez dyskryminacji, szykanowania i narażania na jakikolwiek uszczerbek ze strony Urzędników (art. 225KPA) Oczywiście, żaden Ustawodawca na świecie -  nie stopniuje ważności Interesanta: Mieszkaniec, Bezrobotny, Przedsiębiorca, Radny,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etc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… Każdy Obywatel UE i każdy Podmiot ma możliwość przekazania swoich uwag w tym trybie.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Podsumowanie końcowe: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Autor pracuje z gminami już ponad 25 lat i uważa, że w niektórych gminach, które wykonały organiczną pracę związaną z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Cyberbepieczeństwem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sytuacja nie jest aż tak tragiczna jak obrazuje to NIK ale są to gminy nieliczne, którym pomogliśmy wdrożyć procedurę sanacyjną.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 mniemaniu Autora  - Jeśli Gmina współpracuje z doświadczonymi podmiotami, z którymi koncentruje się w pierwszym rzędzie na właściwym określeniu stanu początkowego dostosowanego do specyfiki gminy, wtedy na zasadzie zarządzania realnym ryzykiem - 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lastRenderedPageBreak/>
              <w:t>wszystkie kolejne działania wykonywane są w sposób racjonalny, a pieniądze podatników są wydatkowane oszczędnie i powyżej zawarte tezy i zarzuty formułowane przez NIK - są mało prawdopodobne.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Jak pisaliśmy już wielokrotnie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tej sprawie wysłaliśmy wniosek do Adresata w trybie Ustawy z dnia 6 września o dostępie do informacji publicznej (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. Dz. U. z 2022 r. poz. 902) przywołując jednocześnie art 241 KPA*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 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Oczywiście ABY NASZA PETYCJA NIE BYŁA W ŻADNYM RAZIE ŁĄCZONA Z PÓŹNIEJSZYM trybem zamówienia  nie musimy dodawać, że jesteśmy przekonani, iż postępowanie będzie prowadzone z uwzględnieniem zasad uczciwej konkurencji - i o wyborze oferenta będą decydować jedynie  ustalone przez decydentów kryteria związane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inter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alia</w:t>
            </w:r>
            <w:proofErr w:type="spellEnd"/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 xml:space="preserve"> z aktualnym stanem prawnym, bezpieczeństwem oraz racjonalnym wydatkowaniem środków publicznych.  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b/>
                <w:bCs/>
                <w:sz w:val="24"/>
                <w:szCs w:val="24"/>
                <w:lang w:eastAsia="pl-PL"/>
              </w:rPr>
              <w:t>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Petycja odrębna - dla ułatwienia i zmniejszenia biurokracji - została dołączona do niniejszego wniosku   - vide -  J. Borkowski (w:) B. Adamiak, J. Borkowski, Kodeks postępowania…, s. 668; por. także art. 12 ust. 1 komentowanej ustawy - dostępne w sieci Internet.  - co jak wynika z cytowanego piśmiennictwa nie jest łączeniem trybów.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Arial"/>
                <w:b/>
                <w:bCs/>
                <w:sz w:val="24"/>
                <w:szCs w:val="24"/>
                <w:lang w:eastAsia="pl-PL"/>
              </w:rPr>
              <w:t>III. WNIOSEK odrębny - w tym samym piśmie kierowany do Organu w trybie KPA: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III.1) Na mocy art. 253 Ustawy  Kodeks postępowania adm. ( </w:t>
            </w:r>
            <w:proofErr w:type="spellStart"/>
            <w:r w:rsidRPr="003567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Dz. U. z 2024 r. poz. 572. ) (dalej KPA) wnosimy o wyznaczenie terminu, o którym mowa w powołanej dyspozycji - scilicet: w dzień przyjęć interesantów w sprawach skarg i wniosków - przez Organ o którym mowa w §1 wzmiankowanego przepisu.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Poddamy się w pełni: trybowi i terminom oraz sposobom zaspokojenia tego przepisu  - określonymi w regulaminie Organu - jednakże z naszej strony (jeśli to możliwe) aby nie absorbować zbytnio czasu  Decydentów - pozwalamy sobie zaproponować tryb telefoniczny  - określony w  art. 14 §2 KPA.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Jeśli tryb telefoniczny (ze względu na konieczność przygotowania oraz sygnowania protokołu) - będzie niewygodny dla Organu - zaakceptujemy wszelkie inne rozwiązania.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 Prosimy o wyznaczenie konkretnej daty i godziny w ramach interwału określonego w art 253 §2 KPA.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PS: Tematem rozmowy w kontekście wyżej powołanych podstaw prawnych  - będą sprawy określone w art 241 KPA - w przedmiocie </w:t>
            </w:r>
            <w:proofErr w:type="spellStart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</w:t>
            </w:r>
            <w:proofErr w:type="spellEnd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alia</w:t>
            </w:r>
            <w:proofErr w:type="spellEnd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sugestii ewentualnego usprawnienia obszaru wypełniania zadań publicznych -   zgodnie z treścią wyżej zawartego wniosku i petycji.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Duża skala nieprawidłowości i deliktów jakie dostrzega autor w JST - wynika nie tylko z udzielanych mu odpowiedzi   -  w trybie ustawy o dostępie do informacji publicznej </w:t>
            </w:r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proofErr w:type="spellStart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Dz. U. z 2022 r. poz. 902, </w:t>
            </w:r>
            <w:proofErr w:type="spellStart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etc</w:t>
            </w:r>
            <w:proofErr w:type="spellEnd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etc</w:t>
            </w:r>
            <w:proofErr w:type="spellEnd"/>
            <w:r w:rsidRPr="003567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 na</w:t>
            </w:r>
            <w:r w:rsidRPr="003567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przestrzeni ostatnich 25 lat, ale również wynika z dostępnych i przywołanych przez autora protokołów NIK oraz doniesień medialnych.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Wierzchołek tej „góry lodowej” staramy się również opisać na naszym portalu  - vide </w:t>
            </w:r>
            <w:hyperlink r:id="rId6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szulc-euphenics.com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—————————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poczty elektronicznej:  </w:t>
            </w:r>
            <w:hyperlink r:id="rId7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jawnosc-transparentnosc@szulc-euphenics.com</w:t>
              </w:r>
            </w:hyperlink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§4) Wnosimy o to, aby odpowiedź w  przedmiocie powyższych pytań i petycji złożonych na mocy art. 63 Konstytucji RP - w związku z art.  241 KPA, została udzielona - zwrotnie na adres poczty elektronicznej  </w:t>
            </w:r>
            <w:hyperlink r:id="rId8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jawnosc-transparentnosc@szulc-euphenics.com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§5) Wniosek został sygnowany bezpiecznym, kwalifikowanym podpisem elektronicznym - stosownie do wytycznych Ustawy z dnia 5 września 2016 r. o usługach zaufania oraz identyfikacji elektronicznej (Dz.U.2016.1579 dnia 2016.09.29)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Sygnowano elektronicznie ipso iure ustawy z dnia 5 września 2016 r. o usługach zaufania oraz identyfikacji elektronicznej (Dz.U.2016.1579 dnia 2016.09.29)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Osoba Prawna: </w:t>
            </w:r>
          </w:p>
          <w:p w:rsidR="0035674B" w:rsidRPr="0035674B" w:rsidRDefault="009926B6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hyperlink r:id="rId9" w:history="1">
              <w:r w:rsidR="0035674B"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Szulc-Euphenics.com</w:t>
              </w:r>
            </w:hyperlink>
            <w:r w:rsidR="0035674B"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p. Spółka Akcyjna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Prezes Zarządu - Adam Szulc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ul. Poligonowa 1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04-051 Warszawa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tel. 608-318-418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nr KRS: 0001 007 117</w:t>
            </w:r>
          </w:p>
          <w:p w:rsidR="0035674B" w:rsidRPr="0035674B" w:rsidRDefault="009926B6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hyperlink r:id="rId10" w:history="1">
              <w:r w:rsidR="0035674B"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www.gmina.pl</w:t>
              </w:r>
            </w:hyperlink>
            <w:r w:rsidR="0035674B"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  <w:t xml:space="preserve"> 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  <w:t xml:space="preserve"> 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Zwyczajowy Komentarz do Pisma.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W naszym na każdym ciąży obywatelski obowiązek uczestnictwa w usprawnianiu Administracji Publicznej - tak aby w ramach posiadanej wiedzy - kontrolować - w jaki sposób Urzędnicy wydatkują nasze podatki.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Zgodnie z intencją Ustawodawcy do osiągnięcia tego celu np. art 241 KPA: 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shd w:val="clear" w:color="auto" w:fill="FFFFFF"/>
                <w:lang w:eastAsia="pl-PL"/>
              </w:rPr>
              <w:t>“Przedmiotem wniosku mogą być w szczególności sprawy ulepszenia organizacji, wzmocnienia praworządności, usprawnienia pracy i 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zapobiegania nadużyciom,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shd w:val="clear" w:color="auto" w:fill="FFFFFF"/>
                <w:lang w:eastAsia="pl-PL"/>
              </w:rPr>
              <w:t> ochrony własności, 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lepszego zaspokajania potrzeb ludności.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”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Pamiętajmy o przepisach zawartych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inter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alia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: w art. 225 KPA: "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§ 1. Nikt nie może być narażony na jakikolwiek uszczerbek lub zarzut z powodu złożenia skargi lub wniosku albo z powodu dostarczenia materiału do publikacji o znamionach skargi lub wniosku</w:t>
            </w: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Pomimo, że zgodnie z judykaturą:  I OSK 1277/08 i odnośnym piśmiennictwem - w mniemaniu wnioskodawcy - nie ma konieczności opatrywania pisma kwalifikowanym podpisem elektronicznym  - w ramach wniosku o takiej formie  -  autor pisma - z ostrożności i chcąc działać bona fides - sygnował odnośny załącznik zgodnie z przepisami Ustawy z dnia 5 września 2016 r. o usługach zaufania oraz identyfikacji elektronicznej (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. Dz. U. z 2019 r. poz. 162, 1590)  oraz  art. 4 ust. 5 Ustawy o petycjach ( tj. Dz.U. 2018 poz. 870)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 […] Mamy nadzieję, zmienić powyższą ocenę, być może nasz wniosek choć w niewielkim stopniu – przyczyni się do zwiększenia tych wskaźników.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Jeśli powołane we wniosku/petycji* przepisy nie mają zastosowania do Jednostki/Organu/Adresata - prosimy o ich pominięcie i procedowanie pisma w ramach pozostałych odnoszących się do Jednostki - podstaw prawnych.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lastRenderedPageBreak/>
              <w:t>Dobro Petenta i jawność życia publicznego powinno być nadrzędnym celem każdego podmiotu,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informacji.”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shd w:val="clear" w:color="auto" w:fill="FFFFFF"/>
                <w:lang w:eastAsia="pl-PL"/>
              </w:rPr>
              <w:t>Ponadto publicity medialne świadczące o tym że warto i należy pytać o stan faktyczny w Jednostkach Administracji Publicznej - szczególnie w Gminach/Miastach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shd w:val="clear" w:color="auto" w:fill="FFFFFF"/>
                <w:lang w:eastAsia="pl-PL"/>
              </w:rPr>
              <w:t>Zdaniem Autorów wniosku -   w Jednostkach Administracji Rządowej sytuacja o wiele lepsza. 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shd w:val="clear" w:color="auto" w:fill="FFFFFF"/>
                <w:lang w:eastAsia="pl-PL"/>
              </w:rPr>
              <w:t>To jak wygląda sytuacja w Gminach wynika </w:t>
            </w: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 - w sposób oczywisty  wynika choćby z takich kazusów opisanych przez Media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inter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alia</w:t>
            </w:r>
            <w:proofErr w:type="spellEnd"/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: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b/>
                <w:bCs/>
                <w:sz w:val="24"/>
                <w:szCs w:val="24"/>
                <w:lang w:eastAsia="pl-PL"/>
              </w:rPr>
              <w:t>1)  „Z kasy gminy zniknęło 5 mln” pieniędzy Podatników </w:t>
            </w:r>
            <w:hyperlink r:id="rId11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Konstancin-Jeziorna. Prokuratura zajęła mieszkanie burmistrza. Wcześniej z miejskiej kasy zniknęło 5 milionów złotych | TVN Warszawa (tvn24.pl)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- sic !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2. Ostrowice „Wójt i skarbniczka skazani na 7 łat więzienia”  Z tytułu samych odsetek parabanków Podatnik poniósł szkodę na co najmniej 13 mln pln: </w:t>
            </w:r>
            <w:hyperlink r:id="rId12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https://tvn24.pl/trojmiasto/ostrowice-z-powodu-zadluzenia-gmina-zniknela-z-mapy-polski-wojt-i-skarbniczka-uslyszeli-wyrok-st5680605</w:t>
              </w:r>
            </w:hyperlink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3. </w:t>
            </w:r>
            <w:hyperlink r:id="rId13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Procedury ochrony danych osobowych - WSA potwierdził karę dla burmistrza (prawo.pl)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 „Burmistrz Aleksandrowa K. nie zawarł umowy RODO … wraz z kosztami sądowymi zapłacił ponad 50 tys.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4. Afera w Dolnośląskim Urzędzie Wojewódzkim - 2019 r. - </w:t>
            </w:r>
            <w:hyperlink r:id="rId14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https://wroclaw.wyborcza.pl/wroclaw/7,35771,30691325,dolnoslaska-afera-wizowa-proces-w-sprawie-korupcji-w-urzedzie.html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5.  Sędzia Tomasz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Szmydt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-  już od roku współpracował z obcym wywiadem - nikt tego nie podejrzewał - sic! - Czy nikt Go o nic nie pytał? przez rok czasu? … gdzie jawność i transparentność ?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vide materiał PAP: </w:t>
            </w:r>
            <w:hyperlink r:id="rId15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https://www.pap.pl/aktualnosci/nowe-ustalenia-sluzb-po-zdradzie-tomasza-szmydta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6. Skuteczny atak na urząd w Sokołowie Podlaskim </w:t>
            </w:r>
            <w:hyperlink r:id="rId16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https://cyberdefence24.pl/cyberbezpieczenstwo/atak-ransomware-na-urzad-gminy-w-sokolowie-podlaskim-danych-nie-wykradziono</w:t>
              </w:r>
            </w:hyperlink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7. Wyciek Danych Osobowych w Gminie Sitkówka </w:t>
            </w:r>
            <w:hyperlink r:id="rId17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https://kielce.wyborcza.pl/kielce/7,47262,27912551,po-wycieku-danych-z-urzedu-gminy-w-nowinach-prace-stracil-informatyk.html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8. Skuteczny atak na urząd w Sokołowie Podlaskim </w:t>
            </w:r>
            <w:hyperlink r:id="rId18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https://cyberdefence24.pl/cyberbezpieczenstwo/atak-ransomware-na-urzad-gminy-w-sokolowie-podlaskim-danych-nie-wykradziono</w:t>
              </w:r>
            </w:hyperlink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9. Wyciek Danych Osobowych w Gminie Sitkówka </w:t>
            </w:r>
            <w:hyperlink r:id="rId19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https://kielce.wyborcza.pl/kielce/7,47262,27912551,po-wycieku-danych-z-urzedu-gminy-w-nowinach-prace-stracil-informatyk.html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10. Cyberatak na gminę Aleksandrów </w:t>
            </w:r>
            <w:hyperlink r:id="rId20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https://wspolnota.org.pl/newsletter/cyberszczepionkowcy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lastRenderedPageBreak/>
              <w:t xml:space="preserve">11. Prezydent Wrocławia Jacek </w:t>
            </w:r>
            <w:proofErr w:type="spellStart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Sutryk</w:t>
            </w:r>
            <w:proofErr w:type="spellEnd"/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 xml:space="preserve"> - płacił łapówki i wyłudzał środki publicze? </w:t>
            </w:r>
            <w:hyperlink r:id="rId21" w:history="1">
              <w:r w:rsidRPr="0035674B">
                <w:rPr>
                  <w:rFonts w:ascii="ArialMT" w:eastAsia="Times New Roman" w:hAnsi="ArialMT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https://oko.press/na-zywo/na-zywo-relacja/sutryk-z-zarzutami-lapowki-i-wyludzenia-jest-reakcja-bodnara</w:t>
              </w:r>
            </w:hyperlink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 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ArialMT" w:eastAsia="Times New Roman" w:hAnsi="ArialMT" w:cs="Times New Roman"/>
                <w:sz w:val="24"/>
                <w:szCs w:val="24"/>
                <w:lang w:eastAsia="pl-PL"/>
              </w:rPr>
              <w:t>Z poważaniem: </w:t>
            </w:r>
          </w:p>
          <w:p w:rsidR="0035674B" w:rsidRPr="0035674B" w:rsidRDefault="0035674B" w:rsidP="003567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Szulc </w:t>
            </w: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Prezes Zarządu</w:t>
            </w: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Szulc-Euphenics.com p. Spółka Akcyjna </w:t>
            </w: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ul. Poligonowa 1, 04-051 Warszawa</w:t>
            </w: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608-318-418 </w:t>
            </w: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nr KRS: 0001 007 117</w:t>
            </w: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5674B" w:rsidRPr="0035674B" w:rsidRDefault="0035674B" w:rsidP="00356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567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  <w:t xml:space="preserve"> </w:t>
            </w:r>
          </w:p>
        </w:tc>
      </w:tr>
    </w:tbl>
    <w:p w:rsidR="002B1C21" w:rsidRPr="0035674B" w:rsidRDefault="002B1C21" w:rsidP="0035674B"/>
    <w:sectPr w:rsidR="002B1C21" w:rsidRPr="0035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61B03"/>
    <w:multiLevelType w:val="hybridMultilevel"/>
    <w:tmpl w:val="FE42A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46"/>
    <w:rsid w:val="00194546"/>
    <w:rsid w:val="002B1C21"/>
    <w:rsid w:val="0035674B"/>
    <w:rsid w:val="009926B6"/>
    <w:rsid w:val="00E0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A838C-A04F-46B5-A521-2B00C818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C21"/>
    <w:pPr>
      <w:ind w:left="720"/>
      <w:contextualSpacing/>
    </w:pPr>
  </w:style>
  <w:style w:type="character" w:customStyle="1" w:styleId="displayonly">
    <w:name w:val="display_only"/>
    <w:basedOn w:val="Domylnaczcionkaakapitu"/>
    <w:rsid w:val="0035674B"/>
  </w:style>
  <w:style w:type="character" w:styleId="Hipercze">
    <w:name w:val="Hyperlink"/>
    <w:basedOn w:val="Domylnaczcionkaakapitu"/>
    <w:uiPriority w:val="99"/>
    <w:semiHidden/>
    <w:unhideWhenUsed/>
    <w:rsid w:val="00356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9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09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03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2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38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9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755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757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350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280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537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0001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8859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9631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68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402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374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507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557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289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31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90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285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4479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8910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2237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225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6654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2157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20744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18431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594097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88911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51131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105551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035517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48540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883046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494561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216958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416632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255345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630025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223430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926450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132301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96456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879785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425151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840147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26457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438326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680752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103067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695320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93030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467633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536908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966280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000560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438020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13052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879603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738977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850788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904174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696776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307765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456165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907073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306442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396921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15034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06396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064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246771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781920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638409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254955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701839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18109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915078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418238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0317814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554612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53966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647707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383555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083456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4256953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269270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3223784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021298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6182876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377623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910408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66440470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063572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69870083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770626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474372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048940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0106673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683786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059424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1800720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3780471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699937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68922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036038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611113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651133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85699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044324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157251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002941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682673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03461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51098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908188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02479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8229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484045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847474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8108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0989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090212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050991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751236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669970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244232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078415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666665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83355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779372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489364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572371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873371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773601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750604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929122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611766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988183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758346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946112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554737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17566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01008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5442643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913291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644698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280145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771709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883642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219925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797156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699523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328881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390836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420809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621673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1263925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831256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520599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6816892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531675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4266333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0740572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9212121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308681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255965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548325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761137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955071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242831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681214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129034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971096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4301202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7325313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18893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288682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67918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911204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34372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18742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835462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50013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3708222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371061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700867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897412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309295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4107463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6341876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379894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5946928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7391129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134294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119107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218304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857060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6105543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6113612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721908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26762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997700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668337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353795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208353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476778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365967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851827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288439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146427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4501607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51208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191536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412010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364293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30348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014102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59292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803633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829438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637234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04284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332145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161919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552828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037729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3375881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044730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847151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396339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372575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942112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651637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696064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147958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279672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530798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5160974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523630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270254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4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27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0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0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97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0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9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50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3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62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00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7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669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143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654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78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8776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010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6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8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9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647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3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3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2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9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89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375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850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31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564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103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780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5259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9226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1641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8189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513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7156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8341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7440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2828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0062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8904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2569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1209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64602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74646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29852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36842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665273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18947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88810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44247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049995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609869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529514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488048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550821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627335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323001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5116464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6109612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43265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1474402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9352117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3434493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4445543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7606296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0450577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13263160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01005640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04610408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31834095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9652423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93729935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97343885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7826469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42738819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9753059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75100742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69588834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0632865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80296504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0140852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7893976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0757940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6966086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7704777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54521718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24987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8232165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09875150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1993135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67506223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217499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221489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8789772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31414464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542050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45275431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962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364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3628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9394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24702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11348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wnosc-transparentnosc@szulc-euphenics.com" TargetMode="External"/><Relationship Id="rId13" Type="http://schemas.openxmlformats.org/officeDocument/2006/relationships/hyperlink" Target="https://www.prawo.pl/samorzad/procedury-ochrony-danychosobowych-wsa-potwierdzil-kare-dla,502658.html" TargetMode="External"/><Relationship Id="rId18" Type="http://schemas.openxmlformats.org/officeDocument/2006/relationships/hyperlink" Target="https://cyberdefence24.pl/cyberbezpieczenstwo/atak-ransomware-na-urzad-gminy-w-sokolowie-podlaskim-danych-nie-wykradzion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o.press/na-zywo/na-zywo-relacja/sutryk-z-zarzutami-lapowki-i-wyludzenia-jest-reakcja-bodnara" TargetMode="External"/><Relationship Id="rId7" Type="http://schemas.openxmlformats.org/officeDocument/2006/relationships/hyperlink" Target="mailto:jawnosc-transparentnosc@szulc-euphenics.com" TargetMode="External"/><Relationship Id="rId12" Type="http://schemas.openxmlformats.org/officeDocument/2006/relationships/hyperlink" Target="https://tvn24.pl/trojmiasto/ostrowice-z-powodu-zadluzenia-gmina-zniknela-z-mapy-polski-wojt-i-skarbniczka-uslyszeli-wyrok-st5680605" TargetMode="External"/><Relationship Id="rId17" Type="http://schemas.openxmlformats.org/officeDocument/2006/relationships/hyperlink" Target="https://kielce.wyborcza.pl/kielce/7,47262,27912551,po-wycieku-danych-z-urzedu-gminy-w-nowinach-prace-stracil-informaty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defence24.pl/cyberbezpieczenstwo/atak-ransomware-na-urzad-gminy-w-sokolowie-podlaskim-danych-nie-wykradziono" TargetMode="External"/><Relationship Id="rId20" Type="http://schemas.openxmlformats.org/officeDocument/2006/relationships/hyperlink" Target="https://wspolnota.org.pl/newsletter/cyberszczepionkowc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zulc-euphenics.com/" TargetMode="External"/><Relationship Id="rId11" Type="http://schemas.openxmlformats.org/officeDocument/2006/relationships/hyperlink" Target="https://tvn24.pl/tvnwarszawa/najnowsze/konstancin-jeziorna-prokuratura-zajela-mieszkanie-burmistrza-wczesniej-z-miejskiej-kasy-zniknelo-5-milionow-zlotych-st6552624" TargetMode="External"/><Relationship Id="rId5" Type="http://schemas.openxmlformats.org/officeDocument/2006/relationships/hyperlink" Target="https://tvn24.pl/tvnwarszawa/najnowsze/konstancin-jeziorna-prokuratura-zajela-mieszkanie-burmistrza-wczesniej-z-miejskiej-kasy-zniknelo-5-milionow-zlotych-st6552624" TargetMode="External"/><Relationship Id="rId15" Type="http://schemas.openxmlformats.org/officeDocument/2006/relationships/hyperlink" Target="https://www.pap.pl/aktualnosci/nowe-ustalenia-sluzb-po-zdradzie-tomasza-szmyd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mina.pl/" TargetMode="External"/><Relationship Id="rId19" Type="http://schemas.openxmlformats.org/officeDocument/2006/relationships/hyperlink" Target="https://kielce.wyborcza.pl/kielce/7,47262,27912551,po-wycieku-danych-z-urzedu-gminy-w-nowinach-prace-stracil-informaty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zulc-euphenics.com/" TargetMode="External"/><Relationship Id="rId14" Type="http://schemas.openxmlformats.org/officeDocument/2006/relationships/hyperlink" Target="https://wroclaw.wyborcza.pl/wroclaw/7,35771,30691325,dolnoslaska-afera-wizowa-proces-w-sprawie-korupcji-w-urzedzi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4437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31002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2</cp:revision>
  <dcterms:created xsi:type="dcterms:W3CDTF">2025-11-28T12:32:00Z</dcterms:created>
  <dcterms:modified xsi:type="dcterms:W3CDTF">2025-11-28T12:32:00Z</dcterms:modified>
</cp:coreProperties>
</file>