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-426"/>
        <w:rPr>
          <w:rStyle w:val="displayonly"/>
        </w:rPr>
      </w:pPr>
      <w:r>
        <w:rPr>
          <w:rStyle w:val="displayonly"/>
        </w:rPr>
        <w:t>Znak sprawy: GGN.IV.</w:t>
      </w:r>
      <w:r>
        <w:rPr>
          <w:rStyle w:val="displayonly"/>
        </w:rPr>
        <w:t>6840.</w:t>
      </w:r>
      <w:r>
        <w:rPr>
          <w:rStyle w:val="displayonly"/>
        </w:rPr>
        <w:t>1.45.2024.A</w:t>
        <w:tab/>
        <w:tab/>
        <w:tab/>
        <w:tab/>
        <w:tab/>
        <w:tab/>
        <w:tab/>
        <w:tab/>
        <w:tab/>
        <w:tab/>
        <w:tab/>
        <w:t>Olsztyn, dnia 03.11.2025r.</w:t>
      </w:r>
    </w:p>
    <w:p>
      <w:pPr>
        <w:pStyle w:val="Standard"/>
        <w:ind w:left="-426"/>
        <w:rPr>
          <w:rStyle w:val="displayonly"/>
        </w:rPr>
      </w:pPr>
      <w:r>
        <w:rPr>
          <w:rStyle w:val="displayonly"/>
        </w:rPr>
        <w:t>Nr dokumentu: 41373.11.2025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WYKAZ</w:t>
      </w:r>
    </w:p>
    <w:p>
      <w:pPr>
        <w:pStyle w:val="Normal"/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35 ust. 1 i 2 ustawy z dnia 21 sierpnia 1997 r. o gospodarce nieruchomościami (t.j. Dz. U. z 2024 r. poz. 1145 ze zm.) </w:t>
      </w:r>
      <w:r>
        <w:rPr>
          <w:b/>
          <w:bCs/>
          <w:sz w:val="20"/>
          <w:szCs w:val="20"/>
        </w:rPr>
        <w:t xml:space="preserve">p o d a j ę </w:t>
      </w:r>
      <w:r>
        <w:rPr>
          <w:sz w:val="20"/>
          <w:szCs w:val="20"/>
        </w:rPr>
        <w:t>do publicznej wiadomości na okres 21 dni tj. od dnia 3 listopada 2025 r. do dnia 24 listopada 2025 r.wykaz obejmujący nieruchomość Gminy Olsztyn przeznaczoną do sprzedaży w trybie bezprzetargowym na rzecz użytkownika wieczystego.</w:t>
      </w:r>
    </w:p>
    <w:tbl>
      <w:tblPr>
        <w:tblW w:w="14318" w:type="dxa"/>
        <w:jc w:val="left"/>
        <w:tblInd w:w="-39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29"/>
        <w:gridCol w:w="1515"/>
        <w:gridCol w:w="1417"/>
        <w:gridCol w:w="1701"/>
        <w:gridCol w:w="1276"/>
        <w:gridCol w:w="1276"/>
        <w:gridCol w:w="3260"/>
        <w:gridCol w:w="1701"/>
        <w:gridCol w:w="1841"/>
      </w:tblGrid>
      <w:tr>
        <w:trPr>
          <w:trHeight w:val="862" w:hRule="atLeast"/>
          <w:cantSplit w:val="true"/>
        </w:trPr>
        <w:tc>
          <w:tcPr>
            <w:tcW w:w="3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Lp.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 xml:space="preserve">Położenie </w:t>
            </w:r>
          </w:p>
          <w:p>
            <w:pPr>
              <w:pStyle w:val="Standard"/>
              <w:jc w:val="center"/>
              <w:rPr>
                <w:u w:val="single"/>
              </w:rPr>
            </w:pPr>
            <w:r>
              <w:rPr/>
              <w:t>nieruchomości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Standard"/>
              <w:jc w:val="center"/>
              <w:rPr/>
            </w:pPr>
            <w:r>
              <w:rPr/>
              <w:t xml:space="preserve">Oznaczenie </w:t>
            </w:r>
          </w:p>
          <w:p>
            <w:pPr>
              <w:pStyle w:val="Standard"/>
              <w:jc w:val="center"/>
              <w:rPr/>
            </w:pPr>
            <w:r>
              <w:rPr/>
              <w:t>nieruchomości</w:t>
            </w:r>
          </w:p>
          <w:p>
            <w:pPr>
              <w:pStyle w:val="Standard"/>
              <w:jc w:val="center"/>
              <w:rPr/>
            </w:pPr>
            <w:r>
              <w:rPr/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rPr/>
              <w:t xml:space="preserve">według </w:t>
            </w:r>
          </w:p>
          <w:p>
            <w:pPr>
              <w:pStyle w:val="Standard"/>
              <w:jc w:val="center"/>
              <w:rPr/>
            </w:pPr>
            <w:r>
              <w:rPr/>
              <w:t>księgi wieczystej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 xml:space="preserve">Powierzchnia </w:t>
            </w:r>
          </w:p>
          <w:p>
            <w:pPr>
              <w:pStyle w:val="Standard"/>
              <w:jc w:val="center"/>
              <w:rPr>
                <w:vertAlign w:val="superscript"/>
              </w:rPr>
            </w:pPr>
            <w:r>
              <w:rPr/>
              <w:t>w ha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Opis</w:t>
            </w:r>
          </w:p>
          <w:p>
            <w:pPr>
              <w:pStyle w:val="Standard"/>
              <w:jc w:val="center"/>
              <w:rPr/>
            </w:pPr>
            <w:r>
              <w:rPr/>
              <w:t>nieruchomości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 xml:space="preserve">Przeznaczenie </w:t>
            </w:r>
          </w:p>
          <w:p>
            <w:pPr>
              <w:pStyle w:val="Standard"/>
              <w:jc w:val="center"/>
              <w:rPr/>
            </w:pPr>
            <w:r>
              <w:rPr/>
              <w:t xml:space="preserve">nieruchomości </w:t>
            </w:r>
          </w:p>
          <w:p>
            <w:pPr>
              <w:pStyle w:val="Standard"/>
              <w:jc w:val="center"/>
              <w:rPr/>
            </w:pPr>
            <w:r>
              <w:rPr/>
              <w:t>i sposób jej zagospodarowania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snapToGrid w:val="false"/>
              <w:jc w:val="center"/>
              <w:rPr/>
            </w:pPr>
            <w:r>
              <w:rPr/>
              <w:t>Forma przekazania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snapToGrid w:val="false"/>
              <w:jc w:val="center"/>
              <w:rPr/>
            </w:pPr>
            <w:r>
              <w:rPr/>
              <w:t>Cena sprzedaży</w:t>
            </w:r>
          </w:p>
          <w:p>
            <w:pPr>
              <w:pStyle w:val="Standard"/>
              <w:snapToGrid w:val="false"/>
              <w:jc w:val="center"/>
              <w:rPr/>
            </w:pPr>
            <w:r>
              <w:rPr/>
              <w:t>nieruchomości</w:t>
            </w:r>
          </w:p>
        </w:tc>
      </w:tr>
      <w:tr>
        <w:trPr>
          <w:trHeight w:val="141" w:hRule="atLeast"/>
          <w:cantSplit w:val="true"/>
        </w:trPr>
        <w:tc>
          <w:tcPr>
            <w:tcW w:w="3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7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  <w:t>Przeznaczenie w mpzp</w:t>
            </w:r>
          </w:p>
        </w:tc>
        <w:tc>
          <w:tcPr>
            <w:tcW w:w="17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680" w:hRule="atLeast"/>
          <w:cantSplit w:val="true"/>
        </w:trPr>
        <w:tc>
          <w:tcPr>
            <w:tcW w:w="32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1.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ul. Hallera 4</w:t>
            </w:r>
          </w:p>
          <w:p>
            <w:pPr>
              <w:pStyle w:val="Standard"/>
              <w:jc w:val="center"/>
              <w:rPr>
                <w:bCs/>
              </w:rPr>
            </w:pPr>
            <w:r>
              <w:rPr/>
              <w:t>ul. Hallera 4a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działka nr 84/50</w:t>
            </w:r>
          </w:p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działka nr 84/52</w:t>
            </w:r>
          </w:p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obręb nr 118</w:t>
            </w:r>
          </w:p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Standard"/>
              <w:snapToGrid w:val="false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OL1O/00206185/7</w:t>
            </w:r>
          </w:p>
          <w:p>
            <w:pPr>
              <w:pStyle w:val="Standard"/>
              <w:snapToGrid w:val="false"/>
              <w:jc w:val="center"/>
              <w:rPr>
                <w:highlight w:val="yellow"/>
              </w:rPr>
            </w:pPr>
            <w:r>
              <w:rPr>
                <w:rStyle w:val="item-fieldvalue"/>
              </w:rPr>
              <w:t>OL1O/00206185/7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</w:p>
          <w:p>
            <w:pPr>
              <w:pStyle w:val="Standard"/>
              <w:jc w:val="center"/>
              <w:rPr/>
            </w:pPr>
            <w:r>
              <w:rPr>
                <w:bCs/>
              </w:rPr>
              <w:t>0,0126</w:t>
            </w:r>
            <w:r>
              <w:rPr/>
              <w:t xml:space="preserve"> ha</w:t>
            </w:r>
          </w:p>
          <w:p>
            <w:pPr>
              <w:pStyle w:val="Standard"/>
              <w:jc w:val="center"/>
              <w:rPr/>
            </w:pPr>
            <w:r>
              <w:rPr/>
              <w:t>0,0119 ha</w:t>
            </w:r>
          </w:p>
          <w:p>
            <w:pPr>
              <w:pStyle w:val="Standard"/>
              <w:rPr/>
            </w:pPr>
            <w:r>
              <w:rPr/>
              <w:t>ogółem</w:t>
            </w:r>
          </w:p>
          <w:p>
            <w:pPr>
              <w:pStyle w:val="Standard"/>
              <w:rPr>
                <w:bCs/>
                <w:vertAlign w:val="superscript"/>
              </w:rPr>
            </w:pPr>
            <w:r>
              <w:rPr/>
              <w:t xml:space="preserve">    </w:t>
            </w:r>
            <w:r>
              <w:rPr/>
              <w:t>0,0245 ha</w:t>
            </w:r>
          </w:p>
          <w:p>
            <w:pPr>
              <w:pStyle w:val="Normal"/>
              <w:rPr>
                <w:bCs/>
                <w:sz w:val="20"/>
                <w:szCs w:val="20"/>
                <w:highlight w:val="yellow"/>
                <w:vertAlign w:val="superscript"/>
              </w:rPr>
            </w:pPr>
            <w:r>
              <w:rPr>
                <w:bCs/>
                <w:sz w:val="20"/>
                <w:szCs w:val="20"/>
                <w:highlight w:val="yellow"/>
                <w:vertAlign w:val="superscript"/>
              </w:rPr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  <w:vertAlign w:val="superscript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</w:t>
            </w:r>
          </w:p>
          <w:p>
            <w:pPr>
              <w:pStyle w:val="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zabudowana</w:t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sprzedaż na rzecz użytkownika wieczystego w trybie art. 37 ust.2 pkt 5 oraz art.32 ust.1 ustawy  z dnia                      21 sierpnia 1997 r. </w:t>
              <w:br/>
              <w:t xml:space="preserve">o gospodarce nieruchomościami </w:t>
              <w:br/>
              <w:t>(t.j. Dz. U. z 2024 r. poz. 1145 ze zm.)</w:t>
            </w:r>
          </w:p>
          <w:p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oraz  § 2 Uchwały nr III/35/24 Rady Miasta Olsztyna w sprawie zasad przeznaczania do sprzedaży nieruchomości gruntowych oddanych w użytkowanie wieczyste oraz szczegółowych wytycznych sprzedaży nieruchomości gruntowych na rzecz ich użytkowników wieczystych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sprzedaż gruntu                     w trybie bezprzetargowym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190 600,00 zł</w:t>
            </w:r>
          </w:p>
        </w:tc>
      </w:tr>
      <w:tr>
        <w:trPr>
          <w:trHeight w:val="173" w:hRule="atLeast"/>
          <w:cantSplit w:val="true"/>
        </w:trPr>
        <w:tc>
          <w:tcPr>
            <w:tcW w:w="329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260" w:type="dxa"/>
            <w:tcBorders>
              <w:left w:val="single" w:sz="2" w:space="0" w:color="000000"/>
            </w:tcBorders>
          </w:tcPr>
          <w:p>
            <w:pPr>
              <w:pStyle w:val="Standard"/>
              <w:jc w:val="center"/>
              <w:rPr>
                <w:rStyle w:val="item-fieldvalue"/>
              </w:rPr>
            </w:pPr>
            <w:r>
              <w:rPr/>
            </w:r>
          </w:p>
          <w:p>
            <w:pPr>
              <w:pStyle w:val="Standard"/>
              <w:jc w:val="center"/>
              <w:rPr>
                <w:rStyle w:val="item-fieldvalue"/>
                <w:highlight w:val="yellow"/>
              </w:rPr>
            </w:pPr>
            <w:r>
              <w:rPr>
                <w:rStyle w:val="item-fieldvalue"/>
              </w:rPr>
              <w:t>brak planu</w:t>
            </w:r>
          </w:p>
        </w:tc>
        <w:tc>
          <w:tcPr>
            <w:tcW w:w="1701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1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Obszartekstu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4" w:hRule="atLeast"/>
          <w:cantSplit w:val="true"/>
        </w:trPr>
        <w:tc>
          <w:tcPr>
            <w:tcW w:w="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rPr/>
            </w:pPr>
            <w:r>
              <w:rPr/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Style w:val="item-fieldvalue"/>
              </w:rPr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zartekstu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-426"/>
        <w:rPr>
          <w:b/>
          <w:sz w:val="20"/>
          <w:szCs w:val="20"/>
        </w:rPr>
      </w:pPr>
      <w:r>
        <w:rPr>
          <w:sz w:val="20"/>
          <w:szCs w:val="20"/>
        </w:rPr>
        <w:t>art. 35 ust. 2 pkt 7, 8, 9, 10 ww. ustawy – nie dotyczy.</w:t>
        <w:br/>
      </w:r>
    </w:p>
    <w:p>
      <w:pPr>
        <w:pStyle w:val="Normal"/>
        <w:ind w:left="-426"/>
        <w:jc w:val="both"/>
        <w:rPr>
          <w:sz w:val="20"/>
          <w:szCs w:val="20"/>
        </w:rPr>
      </w:pPr>
      <w:r>
        <w:rPr>
          <w:b/>
          <w:sz w:val="20"/>
          <w:szCs w:val="20"/>
        </w:rPr>
        <w:t>Uwaga!</w:t>
      </w:r>
      <w:r>
        <w:rPr>
          <w:sz w:val="20"/>
          <w:szCs w:val="20"/>
        </w:rPr>
        <w:t xml:space="preserve"> Osoby, którym przysługuje pierwszeństwo w nabyciu nieruchomości na podstawie art. 34 ust. 1 pkt 1 i 2 ustawy z dnia 21 sierpnia 1997 r. o gospodarce nieruchomościami (t.j. Dz. U z 2024 r. poz. 1145 ze zm.) winny złożyć wnioski w terminie 6 tygodni, licząc od dnia wywieszenia wykazu. Sprzedaż nieruchomości nie podlega opodatkowaniu podatkiem VAT. Wykaz oraz informacja o jego wywieszeniu znajduje się w Biuletynie Informacji Publicznej, prowadzonym przez Urząd Miasta Olsztyna pod adresem </w:t>
      </w:r>
      <w:r>
        <w:rPr>
          <w:sz w:val="20"/>
          <w:szCs w:val="20"/>
          <w:u w:val="single"/>
        </w:rPr>
        <w:t>bip.olsztyn.eu</w:t>
      </w:r>
      <w:r>
        <w:rPr>
          <w:sz w:val="20"/>
          <w:szCs w:val="20"/>
        </w:rPr>
        <w:t xml:space="preserve"> oraz na elektronicznej tablicy ogłoszeń (ETO).</w:t>
      </w:r>
    </w:p>
    <w:p>
      <w:pPr>
        <w:pStyle w:val="Standard"/>
        <w:spacing w:lineRule="auto" w:line="480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1418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4a6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a6727b"/>
    <w:pPr>
      <w:keepNext w:val="true"/>
      <w:keepLines/>
      <w:widowControl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6727b"/>
    <w:pPr>
      <w:keepNext w:val="true"/>
      <w:keepLines/>
      <w:widowControl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6727b"/>
    <w:pPr>
      <w:keepNext w:val="true"/>
      <w:keepLines/>
      <w:widowControl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6727b"/>
    <w:pPr>
      <w:keepNext w:val="true"/>
      <w:keepLines/>
      <w:widowControl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6727b"/>
    <w:pPr>
      <w:keepNext w:val="true"/>
      <w:keepLines/>
      <w:widowControl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6727b"/>
    <w:pPr>
      <w:keepNext w:val="true"/>
      <w:keepLines/>
      <w:widowControl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6727b"/>
    <w:pPr>
      <w:keepNext w:val="true"/>
      <w:keepLines/>
      <w:widowControl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6727b"/>
    <w:pPr>
      <w:keepNext w:val="true"/>
      <w:keepLines/>
      <w:widowControl/>
      <w:suppressAutoHyphens w:val="false"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6727b"/>
    <w:pPr>
      <w:keepNext w:val="true"/>
      <w:keepLines/>
      <w:widowControl/>
      <w:suppressAutoHyphens w:val="false"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672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a672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6727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6727b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a6727b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a6727b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6727b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6727b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6727b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6727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6727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6727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6727b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6727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6727b"/>
    <w:rPr>
      <w:b/>
      <w:bCs/>
      <w:smallCaps/>
      <w:color w:themeColor="accent1" w:themeShade="bf" w:val="2F5496"/>
      <w:spacing w:val="5"/>
    </w:rPr>
  </w:style>
  <w:style w:type="character" w:styleId="displayonly" w:customStyle="1">
    <w:name w:val="display_only"/>
    <w:basedOn w:val="DefaultParagraphFont"/>
    <w:qFormat/>
    <w:rsid w:val="00fc4a6e"/>
    <w:rPr/>
  </w:style>
  <w:style w:type="character" w:styleId="item-fieldvalue" w:customStyle="1">
    <w:name w:val="item-fieldvalue"/>
    <w:basedOn w:val="DefaultParagraphFont"/>
    <w:qFormat/>
    <w:rsid w:val="00fc4a6e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a6727b"/>
    <w:pPr>
      <w:widowControl/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a6727b"/>
    <w:pPr>
      <w:widowControl/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a6727b"/>
    <w:pPr>
      <w:widowControl/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a6727b"/>
    <w:pPr>
      <w:widowControl/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6727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Standard" w:customStyle="1">
    <w:name w:val="Standard"/>
    <w:qFormat/>
    <w:rsid w:val="00fc4a6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l-PL" w:bidi="ar-SA"/>
      <w14:ligatures w14:val="none"/>
    </w:rPr>
  </w:style>
  <w:style w:type="paragraph" w:styleId="Obszartekstu" w:customStyle="1">
    <w:name w:val="Obszar tekstu"/>
    <w:basedOn w:val="Standard"/>
    <w:qFormat/>
    <w:rsid w:val="00fc4a6e"/>
    <w:pPr/>
    <w:rPr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LibreOffice/24.2.7.2$Windows_X86_64 LibreOffice_project/ee3885777aa7032db5a9b65deec9457448a91162</Application>
  <AppVersion>15.0000</AppVersion>
  <Pages>1</Pages>
  <Words>312</Words>
  <Characters>1872</Characters>
  <CharactersWithSpaces>2180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2025-11-03T09:51:00Z</dcterms:created>
  <dc:creator>Maria Żurawska</dc:creator>
  <dc:description/>
  <dc:language>pl-PL</dc:language>
  <cp:lastModifiedBy/>
  <dcterms:modified xsi:type="dcterms:W3CDTF">2025-11-03T15:18:30Z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