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22.4.0 -->
  <w:body>
    <w:p w:rsidR="00A77B3E">
      <w:pPr>
        <w:spacing w:before="0" w:after="0"/>
        <w:ind w:left="5669" w:right="0"/>
        <w:jc w:val="left"/>
        <w:rPr>
          <w:rFonts w:ascii="Times New Roman" w:eastAsia="Times New Roman" w:hAnsi="Times New Roman" w:cs="Times New Roman"/>
          <w:b/>
          <w:i/>
          <w:sz w:val="20"/>
          <w:u w:val="thick"/>
        </w:rPr>
      </w:pPr>
      <w:r>
        <w:rPr>
          <w:rFonts w:ascii="Times New Roman" w:eastAsia="Times New Roman" w:hAnsi="Times New Roman" w:cs="Times New Roman"/>
          <w:b/>
          <w:i/>
          <w:sz w:val="20"/>
          <w:u w:val="thick"/>
        </w:rPr>
        <w:t>Projekt</w:t>
      </w:r>
    </w:p>
    <w:p w:rsidR="00A77B3E">
      <w:pPr>
        <w:spacing w:before="0" w:after="0"/>
        <w:ind w:left="5669" w:right="0"/>
        <w:jc w:val="left"/>
        <w:rPr>
          <w:rFonts w:ascii="Times New Roman" w:eastAsia="Times New Roman" w:hAnsi="Times New Roman" w:cs="Times New Roman"/>
          <w:b/>
          <w:i/>
          <w:sz w:val="20"/>
          <w:u w:val="thick"/>
        </w:rPr>
      </w:pPr>
    </w:p>
    <w:p w:rsidR="00A77B3E">
      <w:pPr>
        <w:spacing w:before="0" w:after="0"/>
        <w:ind w:left="5669" w:right="0"/>
        <w:jc w:val="left"/>
        <w:rPr>
          <w:rFonts w:ascii="Times New Roman" w:eastAsia="Times New Roman" w:hAnsi="Times New Roman" w:cs="Times New Roman"/>
          <w:b w:val="0"/>
          <w:i w:val="0"/>
          <w:sz w:val="20"/>
          <w:u w:val="none"/>
        </w:rPr>
      </w:pPr>
      <w:r>
        <w:rPr>
          <w:rFonts w:ascii="Times New Roman" w:eastAsia="Times New Roman" w:hAnsi="Times New Roman" w:cs="Times New Roman"/>
          <w:b w:val="0"/>
          <w:i w:val="0"/>
          <w:sz w:val="20"/>
          <w:u w:val="none"/>
        </w:rPr>
        <w:t>z dnia  5 sierpnia 2025 r.</w:t>
      </w:r>
    </w:p>
    <w:p w:rsidR="00A77B3E">
      <w:pPr>
        <w:spacing w:before="0" w:after="0"/>
        <w:ind w:left="5669" w:right="0"/>
        <w:jc w:val="left"/>
        <w:rPr>
          <w:rFonts w:ascii="Times New Roman" w:eastAsia="Times New Roman" w:hAnsi="Times New Roman" w:cs="Times New Roman"/>
          <w:b w:val="0"/>
          <w:i w:val="0"/>
          <w:sz w:val="20"/>
          <w:u w:val="none"/>
        </w:rPr>
      </w:pPr>
      <w:r>
        <w:rPr>
          <w:rFonts w:ascii="Times New Roman" w:eastAsia="Times New Roman" w:hAnsi="Times New Roman" w:cs="Times New Roman"/>
          <w:b w:val="0"/>
          <w:i w:val="0"/>
          <w:sz w:val="20"/>
          <w:u w:val="none"/>
        </w:rPr>
        <w:t>Zatwierdzony przez .........................</w:t>
      </w:r>
    </w:p>
    <w:p w:rsidR="00A77B3E">
      <w:pPr>
        <w:spacing w:before="0" w:after="0"/>
        <w:ind w:left="5669" w:right="0"/>
        <w:jc w:val="left"/>
        <w:rPr>
          <w:rFonts w:ascii="Times New Roman" w:eastAsia="Times New Roman" w:hAnsi="Times New Roman" w:cs="Times New Roman"/>
          <w:b w:val="0"/>
          <w:i w:val="0"/>
          <w:sz w:val="20"/>
          <w:u w:val="none"/>
        </w:rPr>
      </w:pPr>
    </w:p>
    <w:p w:rsidR="00A77B3E">
      <w:pPr>
        <w:spacing w:before="0" w:after="0"/>
        <w:ind w:left="5669" w:right="0"/>
        <w:jc w:val="left"/>
        <w:rPr>
          <w:rFonts w:ascii="Times New Roman" w:eastAsia="Times New Roman" w:hAnsi="Times New Roman" w:cs="Times New Roman"/>
          <w:b w:val="0"/>
          <w:i w:val="0"/>
          <w:sz w:val="20"/>
          <w:u w:val="none"/>
        </w:rPr>
      </w:pPr>
    </w:p>
    <w:p w:rsidR="00A77B3E">
      <w:pPr>
        <w:spacing w:before="0" w:after="0" w:line="240" w:lineRule="auto"/>
        <w:ind w:left="0" w:right="0"/>
        <w:jc w:val="center"/>
        <w:rPr>
          <w:rFonts w:ascii="Times New Roman" w:eastAsia="Times New Roman" w:hAnsi="Times New Roman" w:cs="Times New Roman"/>
          <w:b/>
          <w:i w:val="0"/>
          <w:caps/>
          <w:sz w:val="22"/>
          <w:u w:val="none"/>
        </w:rPr>
      </w:pPr>
      <w:r>
        <w:rPr>
          <w:rFonts w:ascii="Times New Roman" w:eastAsia="Times New Roman" w:hAnsi="Times New Roman" w:cs="Times New Roman"/>
          <w:b/>
          <w:i w:val="0"/>
          <w:caps/>
          <w:sz w:val="22"/>
          <w:u w:val="none"/>
        </w:rPr>
        <w:t>Uchwała</w:t>
      </w:r>
      <w:r>
        <w:rPr>
          <w:rFonts w:ascii="Times New Roman" w:eastAsia="Times New Roman" w:hAnsi="Times New Roman" w:cs="Times New Roman"/>
          <w:b/>
          <w:i w:val="0"/>
          <w:caps/>
          <w:sz w:val="22"/>
          <w:u w:val="none"/>
        </w:rPr>
        <w:t xml:space="preserve"> Nr </w:t>
      </w:r>
      <w:r>
        <w:rPr>
          <w:rFonts w:ascii="Times New Roman" w:eastAsia="Times New Roman" w:hAnsi="Times New Roman" w:cs="Times New Roman"/>
          <w:b/>
          <w:i w:val="0"/>
          <w:caps/>
          <w:sz w:val="22"/>
          <w:u w:val="none"/>
        </w:rPr>
        <w:t>....................</w:t>
      </w:r>
      <w:r>
        <w:rPr>
          <w:rFonts w:ascii="Times New Roman" w:eastAsia="Times New Roman" w:hAnsi="Times New Roman" w:cs="Times New Roman"/>
          <w:b/>
          <w:i w:val="0"/>
          <w:caps/>
          <w:sz w:val="22"/>
          <w:u w:val="none"/>
        </w:rPr>
        <w:br/>
      </w:r>
      <w:r>
        <w:rPr>
          <w:rFonts w:ascii="Times New Roman" w:eastAsia="Times New Roman" w:hAnsi="Times New Roman" w:cs="Times New Roman"/>
          <w:b/>
          <w:i w:val="0"/>
          <w:caps/>
          <w:sz w:val="22"/>
          <w:u w:val="none"/>
        </w:rPr>
        <w:t>Rady Miasta Olsztyna</w:t>
      </w:r>
    </w:p>
    <w:p w:rsidR="00A77B3E">
      <w:pPr>
        <w:spacing w:before="280" w:after="280" w:line="240" w:lineRule="auto"/>
        <w:ind w:left="0" w:right="0"/>
        <w:jc w:val="center"/>
        <w:rPr>
          <w:rFonts w:ascii="Times New Roman" w:eastAsia="Times New Roman" w:hAnsi="Times New Roman" w:cs="Times New Roman"/>
          <w:b/>
          <w:i w:val="0"/>
          <w:caps/>
          <w:sz w:val="22"/>
          <w:u w:val="none"/>
        </w:rPr>
      </w:pPr>
      <w:r>
        <w:rPr>
          <w:rFonts w:ascii="Times New Roman" w:eastAsia="Times New Roman" w:hAnsi="Times New Roman" w:cs="Times New Roman"/>
          <w:b w:val="0"/>
          <w:caps w:val="0"/>
          <w:sz w:val="22"/>
        </w:rPr>
        <w:t>z dnia .................... 2025 r.</w:t>
      </w:r>
    </w:p>
    <w:p w:rsidR="00A77B3E">
      <w:pPr>
        <w:keepNext/>
        <w:spacing w:before="0" w:after="360" w:line="240" w:lineRule="auto"/>
        <w:ind w:left="0" w:right="0" w:firstLine="0"/>
        <w:jc w:val="center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</w:pPr>
      <w:r>
        <w:rPr>
          <w:rFonts w:ascii="Times New Roman" w:eastAsia="Times New Roman" w:hAnsi="Times New Roman" w:cs="Times New Roman"/>
          <w:b/>
          <w:i w:val="0"/>
          <w:caps w:val="0"/>
          <w:sz w:val="22"/>
          <w:u w:val="none"/>
        </w:rPr>
        <w:t>w sprawie wyrażenia opinii o lokalizacji kasyna gry</w:t>
      </w:r>
    </w:p>
    <w:p w:rsidR="00A77B3E">
      <w:pPr>
        <w:keepNext w:val="0"/>
        <w:keepLines/>
        <w:spacing w:before="120" w:after="120" w:line="240" w:lineRule="auto"/>
        <w:ind w:left="0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Na podstawie art.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18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ust.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2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pkt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15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ustawy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dnia 8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marca 1990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r.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samorządzie gminnym (t.j. Dz.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U. 2024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r. poz.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1465, 1572, 1907, 1940)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art.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35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pkt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15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ustawy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dnia 19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listopada 2009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r.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grach hazardowych (t.j. Dz.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U.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2025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r. poz.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595), Rada Miasta Olsztyna uchwala, co następuje:</w:t>
      </w:r>
    </w:p>
    <w:p w:rsidR="00A77B3E">
      <w:pPr>
        <w:keepNext w:val="0"/>
        <w:keepLines/>
        <w:spacing w:before="120" w:after="0" w:line="240" w:lineRule="auto"/>
        <w:ind w:left="0" w:right="0" w:firstLine="283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</w:pPr>
      <w:r>
        <w:rPr>
          <w:rFonts w:ascii="Times New Roman" w:eastAsia="Times New Roman" w:hAnsi="Times New Roman" w:cs="Times New Roman"/>
          <w:b/>
          <w:sz w:val="22"/>
        </w:rPr>
        <w:t>§ 1.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Rada Miasta Olsztyna pozytywnie opiniuje lokalizację kasyna gry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lokalu użytkowym mieszczącym się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budynku przy ul. Dąbrowszczaków 10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Olsztynie na wniosek Bookmacher Sp.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o.o.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siedzibą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Warszawie przy ul. Dęblińskiej 6.</w:t>
      </w:r>
    </w:p>
    <w:p w:rsidR="00A77B3E">
      <w:pPr>
        <w:keepNext w:val="0"/>
        <w:keepLines/>
        <w:spacing w:before="120" w:after="0" w:line="240" w:lineRule="auto"/>
        <w:ind w:left="0" w:right="0" w:firstLine="283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</w:pPr>
      <w:r>
        <w:rPr>
          <w:rFonts w:ascii="Times New Roman" w:eastAsia="Times New Roman" w:hAnsi="Times New Roman" w:cs="Times New Roman"/>
          <w:b/>
          <w:sz w:val="22"/>
        </w:rPr>
        <w:t>§ 2.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Wykonanie uchwały powierza się Prezydentowi Olsztyna.</w:t>
      </w:r>
    </w:p>
    <w:p w:rsidR="00A77B3E">
      <w:pPr>
        <w:keepNext/>
        <w:keepLines/>
        <w:spacing w:before="120" w:after="0" w:line="240" w:lineRule="auto"/>
        <w:ind w:left="0" w:right="0" w:firstLine="283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</w:pPr>
      <w:r>
        <w:rPr>
          <w:rFonts w:ascii="Times New Roman" w:eastAsia="Times New Roman" w:hAnsi="Times New Roman" w:cs="Times New Roman"/>
          <w:b/>
          <w:sz w:val="22"/>
        </w:rPr>
        <w:t>§ 3.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Uchwała wchodzi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życie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dniem podjęcia.</w:t>
      </w:r>
    </w:p>
    <w:p w:rsidR="00A77B3E">
      <w:pPr>
        <w:keepNext/>
        <w:keepLines/>
        <w:spacing w:before="120" w:after="0" w:line="240" w:lineRule="auto"/>
        <w:ind w:left="0" w:right="0" w:firstLine="283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</w:pPr>
    </w:p>
    <w:p w:rsidR="00A77B3E">
      <w:pPr>
        <w:keepNext/>
        <w:spacing w:before="0" w:after="0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</w:pPr>
      <w:r>
        <w:rPr>
          <w:b w:val="0"/>
          <w:i w:val="0"/>
          <w:color w:val="000000"/>
          <w:u w:val="none"/>
          <w:vertAlign w:val="baseline"/>
        </w:rPr>
        <w:t> </w:t>
      </w:r>
    </w:p>
    <w:tbl>
      <w:tblPr>
        <w:tblW w:w="5000" w:type="pct"/>
        <w:tblCellMar>
          <w:top w:w="0" w:type="dxa"/>
          <w:left w:w="0" w:type="dxa"/>
          <w:bottom w:w="0" w:type="dxa"/>
          <w:right w:w="0" w:type="dxa"/>
        </w:tblCellMar>
      </w:tblPr>
      <w:tblGrid>
        <w:gridCol w:w="4933"/>
        <w:gridCol w:w="4933"/>
      </w:tblGrid>
      <w:tr>
        <w:tblPrEx>
          <w:tblW w:w="5000" w:type="pct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500" w:type="pct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  <w:hideMark/>
          </w:tcPr>
          <w:p>
            <w:pPr>
              <w:keepNext/>
              <w:keepLines/>
              <w:jc w:val="left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</w:pPr>
          </w:p>
        </w:tc>
        <w:tc>
          <w:tcPr>
            <w:tcW w:w="2500" w:type="pct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  <w:hideMark/>
          </w:tcPr>
          <w:p>
            <w:pPr>
              <w:keepNext/>
              <w:keepLines/>
              <w:spacing w:before="40" w:after="40"/>
              <w:ind w:left="0" w:right="0" w:firstLine="0"/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t>PRZEWODNICZĄCY RADY  MIASTA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br/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br/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br/>
            </w:r>
            <w:r>
              <w:rPr>
                <w:b w:val="0"/>
                <w:i w:val="0"/>
              </w:rPr>
              <w:t>Łukasz Łukaszewski</w:t>
            </w:r>
          </w:p>
        </w:tc>
      </w:tr>
    </w:tbl>
    <w:p w:rsidR="00A77B3E">
      <w:pPr>
        <w:keepNext/>
        <w:spacing w:before="0" w:after="0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sectPr>
          <w:footerReference w:type="default" r:id="rId4"/>
          <w:endnotePr>
            <w:numFmt w:val="decimal"/>
          </w:endnotePr>
          <w:pgSz w:w="11906" w:h="16838"/>
          <w:pgMar w:top="992" w:right="1020" w:bottom="992" w:left="1020" w:header="708" w:footer="708" w:gutter="0"/>
          <w:cols w:space="708"/>
          <w:docGrid w:linePitch="360"/>
        </w:sectPr>
      </w:pPr>
    </w:p>
    <w:p>
      <w:pPr>
        <w:keepNext w:val="0"/>
        <w:keepLines w:val="0"/>
        <w:widowControl/>
        <w:suppressLineNumbers w:val="0"/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contextualSpacing w:val="0"/>
        <w:rPr>
          <w:szCs w:val="20"/>
        </w:rPr>
      </w:pPr>
    </w:p>
    <w:p>
      <w:pPr>
        <w:keepNext w:val="0"/>
        <w:keepLines w:val="0"/>
        <w:widowControl/>
        <w:suppressLineNumbers w:val="0"/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contextualSpacing w:val="0"/>
        <w:jc w:val="center"/>
        <w:rPr>
          <w:szCs w:val="20"/>
        </w:rPr>
      </w:pPr>
      <w:r>
        <w:rPr>
          <w:b/>
          <w:szCs w:val="20"/>
        </w:rPr>
        <w:t>Uzasadnienie</w:t>
      </w:r>
    </w:p>
    <w:p>
      <w:pPr>
        <w:keepNext w:val="0"/>
        <w:keepLines w:val="0"/>
        <w:widowControl/>
        <w:suppressLineNumbers w:val="0"/>
        <w:shd w:val="clear" w:color="auto" w:fill="auto"/>
        <w:suppressAutoHyphens w:val="0"/>
        <w:spacing w:before="120" w:beforeAutospacing="0" w:after="120" w:afterAutospacing="0" w:line="240" w:lineRule="auto"/>
        <w:ind w:left="283" w:right="0" w:firstLine="227"/>
        <w:contextualSpacing w:val="0"/>
        <w:rPr>
          <w:szCs w:val="20"/>
        </w:rPr>
      </w:pPr>
      <w:r>
        <w:rPr>
          <w:szCs w:val="20"/>
        </w:rPr>
        <w:t>Warunki urządzania i zasady prowadzenia działalności w zakresie gier losowych, zakładów wzajemnych i gier na automatach określa ustawa z dnia 19 listopada 2009r. o grach hazardowych (t.j. Dz. U. 2025. poz.595). Zgodnie z art. 35 pkt 15 cytowanej wyżej ustawy, podmiot ubiegający się o koncesję na prowadzenie kasyna gry zobowiązany jest do przedłożenia pozytywnej opinii rady gminy o lokalizacji kasyna gry jako jeden z elementów wniosku składanego do Ministra Finansów.</w:t>
      </w:r>
    </w:p>
    <w:p>
      <w:pPr>
        <w:keepNext w:val="0"/>
        <w:keepLines w:val="0"/>
        <w:widowControl/>
        <w:suppressLineNumbers w:val="0"/>
        <w:shd w:val="clear" w:color="auto" w:fill="auto"/>
        <w:suppressAutoHyphens w:val="0"/>
        <w:spacing w:before="120" w:beforeAutospacing="0" w:after="120" w:afterAutospacing="0" w:line="240" w:lineRule="auto"/>
        <w:ind w:left="283" w:right="0" w:firstLine="227"/>
        <w:contextualSpacing w:val="0"/>
        <w:rPr>
          <w:szCs w:val="20"/>
        </w:rPr>
      </w:pPr>
      <w:r>
        <w:rPr>
          <w:szCs w:val="20"/>
        </w:rPr>
        <w:t>Bookmacher Sp. z o.o.  z siedzibą w Warszawie przy ul. Dęblińskiej 6, pismem z dnia 28.05.2025 r (data wpływu 29.05.2025 r.) zwróciła się z wnioskiem do Rady Miasta Olsztyna o wydanie pozytywnej opinii dotyczącej lokalizacji kasyna gry w budynku położonym w Olsztynie przy ul. Dąbrowszczaków 10.</w:t>
      </w:r>
    </w:p>
    <w:p>
      <w:pPr>
        <w:keepNext w:val="0"/>
        <w:keepLines w:val="0"/>
        <w:widowControl/>
        <w:suppressLineNumbers w:val="0"/>
        <w:shd w:val="clear" w:color="auto" w:fill="auto"/>
        <w:suppressAutoHyphens w:val="0"/>
        <w:spacing w:before="120" w:beforeAutospacing="0" w:after="120" w:afterAutospacing="0" w:line="240" w:lineRule="auto"/>
        <w:ind w:left="283" w:right="0" w:firstLine="227"/>
        <w:contextualSpacing w:val="0"/>
        <w:rPr>
          <w:szCs w:val="20"/>
        </w:rPr>
      </w:pPr>
      <w:r>
        <w:rPr>
          <w:szCs w:val="20"/>
        </w:rPr>
        <w:t>Uprawnienie Rady Miasta Olsztyna sprowadza się do wydania opinii o lokalizacji kasyna, a więc dokonania oceny proponowanego miejsca prowadzenia kasyna. Opinia Rady Miasta Olsztyna nie ma charakteru wiążącego dla Ministra Finansów.</w:t>
      </w:r>
    </w:p>
    <w:p>
      <w:pPr>
        <w:keepNext w:val="0"/>
        <w:keepLines w:val="0"/>
        <w:widowControl/>
        <w:suppressLineNumbers w:val="0"/>
        <w:shd w:val="clear" w:color="auto" w:fill="auto"/>
        <w:suppressAutoHyphens w:val="0"/>
        <w:spacing w:before="120" w:beforeAutospacing="0" w:after="120" w:afterAutospacing="0" w:line="240" w:lineRule="auto"/>
        <w:ind w:left="283" w:right="0" w:firstLine="227"/>
        <w:contextualSpacing w:val="0"/>
        <w:rPr>
          <w:szCs w:val="20"/>
        </w:rPr>
      </w:pPr>
      <w:r>
        <w:rPr>
          <w:szCs w:val="20"/>
        </w:rPr>
        <w:t>Zaznaczyć należy, że ustawodawca nie sprecyzował przesłanek oceny lokalizacji pozostawiając to swobodnemu uznaniu organowi uprawnionemu do wydania opinii.</w:t>
      </w:r>
    </w:p>
    <w:p>
      <w:pPr>
        <w:keepNext w:val="0"/>
        <w:keepLines w:val="0"/>
        <w:widowControl/>
        <w:suppressLineNumbers w:val="0"/>
        <w:shd w:val="clear" w:color="auto" w:fill="auto"/>
        <w:suppressAutoHyphens w:val="0"/>
        <w:spacing w:before="120" w:beforeAutospacing="0" w:after="120" w:afterAutospacing="0" w:line="240" w:lineRule="auto"/>
        <w:ind w:left="283" w:right="0" w:firstLine="227"/>
        <w:contextualSpacing w:val="0"/>
        <w:rPr>
          <w:szCs w:val="20"/>
        </w:rPr>
      </w:pPr>
      <w:r>
        <w:rPr>
          <w:szCs w:val="20"/>
        </w:rPr>
        <w:t xml:space="preserve">Po zapoznaniu się z opiniami  Komendy Miejskiej Policji w Olsztynie, Straży Miejskiej w Olsztynie, Rady Osiedla Kętrzyńskiego, </w:t>
      </w:r>
      <w:r>
        <w:rPr>
          <w:szCs w:val="20"/>
        </w:rPr>
        <w:t>W</w:t>
      </w:r>
      <w:r>
        <w:rPr>
          <w:szCs w:val="20"/>
        </w:rPr>
        <w:t xml:space="preserve">spólnoty </w:t>
      </w:r>
      <w:r>
        <w:rPr>
          <w:szCs w:val="20"/>
        </w:rPr>
        <w:t>M</w:t>
      </w:r>
      <w:r>
        <w:rPr>
          <w:szCs w:val="20"/>
        </w:rPr>
        <w:t>ieszkaniowej ZBK II oraz Zakładu Lokali i Budynków Komunalnych proponuje się wydanie pozytywnej opinii lokalizacji kasyna gry w budynku przy ul. Dąbrowszczaków 10.</w:t>
      </w:r>
    </w:p>
    <w:sectPr>
      <w:footerReference w:type="default" r:id="rId5"/>
      <w:endnotePr>
        <w:numFmt w:val="decimal"/>
      </w:endnotePr>
      <w:type w:val="nextPage"/>
      <w:pgSz w:w="11906" w:h="16838" w:code="0"/>
      <w:pgMar w:top="992" w:right="1020" w:bottom="992" w:left="1020" w:header="708" w:footer="708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7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7A87" w:usb1="80000000" w:usb2="00000008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108" w:type="dxa"/>
        <w:right w:w="108" w:type="dxa"/>
      </w:tblCellMar>
    </w:tblPr>
    <w:tblGrid>
      <w:gridCol w:w="6577"/>
      <w:gridCol w:w="3289"/>
    </w:tblGrid>
    <w:tr>
      <w:tblPrEx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8" w:type="dxa"/>
          <w:right w:w="108" w:type="dxa"/>
        </w:tblCellMar>
      </w:tblPrEx>
      <w:tc>
        <w:tcPr>
          <w:tcW w:w="6577" w:type="dxa"/>
          <w:tcBorders>
            <w:top w:val="nil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vAlign w:val="top"/>
          <w:hideMark/>
        </w:tcPr>
        <w:p>
          <w:pPr>
            <w:jc w:val="lef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>Id: 9BD10569-540F-4DE6-9DC4-5B2B3014D999. Projekt</w:t>
          </w:r>
        </w:p>
      </w:tc>
      <w:tc>
        <w:tcPr>
          <w:tcW w:w="3289" w:type="dxa"/>
          <w:tcBorders>
            <w:top w:val="nil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vAlign w:val="top"/>
          <w:hideMark/>
        </w:tcPr>
        <w:p>
          <w:pPr>
            <w:jc w:val="righ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 xml:space="preserve">Strona </w: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begin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instrText>PAGE</w:instrTex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separate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end"/>
          </w:r>
        </w:p>
      </w:tc>
    </w:tr>
  </w:tbl>
  <w:p>
    <w:pPr>
      <w:rPr>
        <w:rFonts w:ascii="Times New Roman" w:eastAsia="Times New Roman" w:hAnsi="Times New Roman" w:cs="Times New Roman"/>
        <w:b w:val="0"/>
        <w:sz w:val="18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108" w:type="dxa"/>
        <w:right w:w="108" w:type="dxa"/>
      </w:tblCellMar>
    </w:tblPr>
    <w:tblGrid>
      <w:gridCol w:w="6577"/>
      <w:gridCol w:w="3289"/>
    </w:tblGrid>
    <w:tr>
      <w:tblPrEx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8" w:type="dxa"/>
          <w:right w:w="108" w:type="dxa"/>
        </w:tblCellMar>
      </w:tblPrEx>
      <w:tc>
        <w:tcPr>
          <w:tcW w:w="6577" w:type="dxa"/>
          <w:tcBorders>
            <w:top w:val="nil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vAlign w:val="top"/>
          <w:hideMark/>
        </w:tcPr>
        <w:p>
          <w:pPr>
            <w:jc w:val="lef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>Id: 9BD10569-540F-4DE6-9DC4-5B2B3014D999. Projekt</w:t>
          </w:r>
        </w:p>
      </w:tc>
      <w:tc>
        <w:tcPr>
          <w:tcW w:w="3289" w:type="dxa"/>
          <w:tcBorders>
            <w:top w:val="nil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vAlign w:val="top"/>
          <w:hideMark/>
        </w:tcPr>
        <w:p>
          <w:pPr>
            <w:jc w:val="righ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 xml:space="preserve">Strona </w: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begin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instrText>PAGE</w:instrTex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separate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end"/>
          </w:r>
        </w:p>
      </w:tc>
    </w:tr>
  </w:tbl>
  <w:p>
    <w:pPr>
      <w:rPr>
        <w:rFonts w:ascii="Times New Roman" w:eastAsia="Times New Roman" w:hAnsi="Times New Roman" w:cs="Times New Roman"/>
        <w:b w:val="0"/>
        <w:sz w:val="18"/>
      </w:rPr>
    </w:pP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stylePaneFormatFilter w:val="3F01"/>
  <w:defaultTabStop w:val="720"/>
  <w:noPunctuationKerning/>
  <w:characterSpacingControl w:val="doNotCompress"/>
  <w:endnotePr>
    <w:numFmt w:val="decimal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77B3E"/>
    <w:rsid w:val="00A77B3E"/>
    <w:rsid w:val="00CA2A55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pl-PL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jc w:val="both"/>
    </w:pPr>
    <w:rPr>
      <w:rFonts w:ascii="Times New Roman" w:eastAsia="Times New Roman" w:hAnsi="Times New Roman" w:cs="Times New Roman"/>
      <w:sz w:val="22"/>
      <w:szCs w:val="24"/>
      <w:lang w:val="pl-PL" w:eastAsia="pl-PL" w:bidi="pl-PL"/>
    </w:rPr>
  </w:style>
  <w:style w:type="character" w:default="1" w:styleId="DefaultParagraphFont">
    <w:name w:val="Default Paragraph Font"/>
    <w:semiHidden/>
    <w:rPr>
      <w:lang w:val="pl-PL" w:eastAsia="pl-PL" w:bidi="pl-PL"/>
    </w:rPr>
  </w:style>
  <w:style w:type="table" w:default="1" w:styleId="TableNormal">
    <w:name w:val="Normal Table"/>
    <w:semiHidden/>
    <w:rPr>
      <w:lang w:val="pl-PL" w:eastAsia="pl-PL" w:bidi="pl-PL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footer" Target="footer1.xml" /><Relationship Id="rId5" Type="http://schemas.openxmlformats.org/officeDocument/2006/relationships/footer" Target="footer2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/>
      </a:dk1>
      <a:lt1>
        <a:sysClr val="window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</Template>
  <TotalTime>0</TotalTime>
  <Pages>1</Pages>
  <Words>0</Words>
  <Characters>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Rada Miasta Olsztyna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Uchwała</dc:title>
  <dc:subject>w sprawie wyrażenia opinii o^lokalizacji kasyna gry</dc:subject>
  <dc:creator>umo.a.banasik</dc:creator>
  <cp:lastModifiedBy>umo.a.banasik</cp:lastModifiedBy>
  <cp:revision>1</cp:revision>
  <dcterms:created xsi:type="dcterms:W3CDTF">2025-08-05T07:07:36Z</dcterms:created>
  <dcterms:modified xsi:type="dcterms:W3CDTF">2025-08-05T07:07:36Z</dcterms:modified>
  <cp:category>Akt prawny</cp:category>
</cp:coreProperties>
</file>